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95" w:rsidRDefault="00DE1595" w:rsidP="002B1749">
      <w:pPr>
        <w:spacing w:after="0"/>
        <w:jc w:val="center"/>
        <w:rPr>
          <w:rFonts w:ascii="Arial" w:hAnsi="Arial"/>
          <w:b/>
          <w:sz w:val="24"/>
          <w:lang w:val="en-US"/>
        </w:rPr>
      </w:pPr>
    </w:p>
    <w:p w:rsidR="00B15E89" w:rsidRPr="004B6585" w:rsidRDefault="004B6585" w:rsidP="009D349D">
      <w:pPr>
        <w:spacing w:after="0"/>
        <w:jc w:val="both"/>
        <w:rPr>
          <w:rFonts w:ascii="Arial" w:hAnsi="Arial"/>
          <w:b/>
          <w:sz w:val="24"/>
          <w:lang w:val="en-US"/>
        </w:rPr>
      </w:pPr>
      <w:r w:rsidRPr="004B6585">
        <w:rPr>
          <w:rFonts w:ascii="Arial" w:hAnsi="Arial"/>
          <w:b/>
          <w:sz w:val="24"/>
          <w:lang w:val="en-US"/>
        </w:rPr>
        <w:t xml:space="preserve">Request for a high survivability exemption for </w:t>
      </w:r>
      <w:proofErr w:type="spellStart"/>
      <w:r w:rsidRPr="004B6585">
        <w:rPr>
          <w:rFonts w:ascii="Arial" w:hAnsi="Arial"/>
          <w:b/>
          <w:i/>
          <w:sz w:val="24"/>
          <w:lang w:val="en-US"/>
        </w:rPr>
        <w:t>Nephrops</w:t>
      </w:r>
      <w:proofErr w:type="spellEnd"/>
      <w:r w:rsidRPr="004B6585">
        <w:rPr>
          <w:rFonts w:ascii="Arial" w:hAnsi="Arial"/>
          <w:b/>
          <w:sz w:val="24"/>
          <w:lang w:val="en-US"/>
        </w:rPr>
        <w:t xml:space="preserve"> in the </w:t>
      </w:r>
      <w:r w:rsidR="00903312">
        <w:rPr>
          <w:rFonts w:ascii="Arial" w:hAnsi="Arial"/>
          <w:b/>
          <w:sz w:val="24"/>
          <w:lang w:val="en-US"/>
        </w:rPr>
        <w:t xml:space="preserve">TR1 and </w:t>
      </w:r>
      <w:r w:rsidRPr="004B6585">
        <w:rPr>
          <w:rFonts w:ascii="Arial" w:hAnsi="Arial"/>
          <w:b/>
          <w:sz w:val="24"/>
          <w:lang w:val="en-US"/>
        </w:rPr>
        <w:t xml:space="preserve">TR2 fisheries in Area VII in combination with highly selective gears </w:t>
      </w:r>
    </w:p>
    <w:p w:rsidR="001125CE" w:rsidRDefault="001125CE" w:rsidP="004B65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903312" w:rsidRDefault="004B6585" w:rsidP="004B65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B6585">
        <w:rPr>
          <w:rFonts w:ascii="Arial" w:hAnsi="Arial" w:cs="Arial"/>
          <w:color w:val="000000"/>
          <w:kern w:val="1"/>
          <w:sz w:val="24"/>
          <w:szCs w:val="24"/>
        </w:rPr>
        <w:t xml:space="preserve">In the framework of the landing obligation in accordance with article 15 of regulation (EU) No 1380/2013, [the NWW Member States Group] is proposing a </w:t>
      </w:r>
      <w:r>
        <w:rPr>
          <w:rFonts w:ascii="Arial" w:hAnsi="Arial" w:cs="Arial"/>
          <w:color w:val="000000"/>
          <w:kern w:val="1"/>
          <w:sz w:val="24"/>
          <w:szCs w:val="24"/>
        </w:rPr>
        <w:t>high survivability</w:t>
      </w:r>
      <w:r w:rsidRPr="004B6585">
        <w:rPr>
          <w:rFonts w:ascii="Arial" w:hAnsi="Arial" w:cs="Arial"/>
          <w:color w:val="000000"/>
          <w:kern w:val="1"/>
          <w:sz w:val="24"/>
          <w:szCs w:val="24"/>
        </w:rPr>
        <w:t xml:space="preserve"> exemption for 2019 for </w:t>
      </w:r>
      <w:r w:rsidRPr="004B6585">
        <w:rPr>
          <w:rFonts w:ascii="Arial" w:hAnsi="Arial" w:cs="Arial"/>
          <w:i/>
          <w:color w:val="000000"/>
          <w:kern w:val="1"/>
          <w:sz w:val="24"/>
          <w:szCs w:val="24"/>
        </w:rPr>
        <w:t>Nephrops</w:t>
      </w:r>
      <w:r w:rsidRPr="004B6585">
        <w:rPr>
          <w:rFonts w:ascii="Arial" w:hAnsi="Arial" w:cs="Arial"/>
          <w:color w:val="000000"/>
          <w:kern w:val="1"/>
          <w:sz w:val="24"/>
          <w:szCs w:val="24"/>
        </w:rPr>
        <w:t xml:space="preserve">. This exemption would apply in the mixed demersal fisheries conducted with bottom trawls with a mesh size of </w:t>
      </w:r>
      <w:r>
        <w:rPr>
          <w:rFonts w:ascii="Arial" w:hAnsi="Arial" w:cs="Arial"/>
          <w:color w:val="000000"/>
          <w:kern w:val="1"/>
          <w:sz w:val="24"/>
          <w:szCs w:val="24"/>
        </w:rPr>
        <w:t>70</w:t>
      </w:r>
      <w:r w:rsidR="00F300EB">
        <w:rPr>
          <w:rFonts w:ascii="Arial" w:hAnsi="Arial" w:cs="Arial"/>
          <w:color w:val="000000"/>
          <w:kern w:val="1"/>
          <w:sz w:val="24"/>
          <w:szCs w:val="24"/>
        </w:rPr>
        <w:t>-9</w:t>
      </w:r>
      <w:r w:rsidRPr="004B6585">
        <w:rPr>
          <w:rFonts w:ascii="Arial" w:hAnsi="Arial" w:cs="Arial"/>
          <w:color w:val="000000"/>
          <w:kern w:val="1"/>
          <w:sz w:val="24"/>
          <w:szCs w:val="24"/>
        </w:rPr>
        <w:t xml:space="preserve">9 mm </w:t>
      </w:r>
      <w:r w:rsidR="00903312">
        <w:rPr>
          <w:rFonts w:ascii="Arial" w:hAnsi="Arial" w:cs="Arial"/>
          <w:color w:val="000000"/>
          <w:kern w:val="1"/>
          <w:sz w:val="24"/>
          <w:szCs w:val="24"/>
        </w:rPr>
        <w:t xml:space="preserve">in </w:t>
      </w:r>
      <w:r w:rsidR="00F300EB">
        <w:rPr>
          <w:rFonts w:ascii="Arial" w:hAnsi="Arial" w:cs="Arial"/>
          <w:color w:val="000000"/>
          <w:kern w:val="1"/>
          <w:sz w:val="24"/>
          <w:szCs w:val="24"/>
        </w:rPr>
        <w:t>ICES divisions VII (including the Irish Sea</w:t>
      </w:r>
      <w:r w:rsidR="00903312">
        <w:rPr>
          <w:rFonts w:ascii="Arial" w:hAnsi="Arial" w:cs="Arial"/>
          <w:color w:val="000000"/>
          <w:kern w:val="1"/>
          <w:sz w:val="24"/>
          <w:szCs w:val="24"/>
        </w:rPr>
        <w:t xml:space="preserve"> but excluding the eastern Channel</w:t>
      </w:r>
      <w:r w:rsidR="00F300EB">
        <w:rPr>
          <w:rFonts w:ascii="Arial" w:hAnsi="Arial" w:cs="Arial"/>
          <w:color w:val="000000"/>
          <w:kern w:val="1"/>
          <w:sz w:val="24"/>
          <w:szCs w:val="24"/>
        </w:rPr>
        <w:t xml:space="preserve">) </w:t>
      </w:r>
      <w:r w:rsidR="00F300EB" w:rsidRPr="00F300EB">
        <w:rPr>
          <w:rFonts w:ascii="Arial" w:hAnsi="Arial" w:cs="Arial"/>
          <w:color w:val="000000"/>
          <w:kern w:val="1"/>
          <w:sz w:val="24"/>
          <w:szCs w:val="24"/>
        </w:rPr>
        <w:t>in combination with one of the selective gear options</w:t>
      </w:r>
      <w:r w:rsidR="00981E85">
        <w:rPr>
          <w:rFonts w:ascii="Arial" w:hAnsi="Arial" w:cs="Arial"/>
          <w:color w:val="000000"/>
          <w:kern w:val="1"/>
          <w:sz w:val="24"/>
          <w:szCs w:val="24"/>
        </w:rPr>
        <w:t xml:space="preserve"> (see section 6 of the JR) </w:t>
      </w:r>
      <w:r w:rsidR="00903312">
        <w:rPr>
          <w:rFonts w:ascii="Arial" w:hAnsi="Arial" w:cs="Arial"/>
          <w:color w:val="000000"/>
          <w:kern w:val="1"/>
          <w:sz w:val="24"/>
          <w:szCs w:val="24"/>
        </w:rPr>
        <w:t xml:space="preserve">as follows: </w:t>
      </w:r>
      <w:r w:rsidR="00F300EB" w:rsidRPr="00F300EB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</w:p>
    <w:p w:rsidR="00903312" w:rsidRPr="00903312" w:rsidRDefault="00903312" w:rsidP="00903312">
      <w:pPr>
        <w:numPr>
          <w:ilvl w:val="0"/>
          <w:numId w:val="6"/>
        </w:numPr>
        <w:suppressAutoHyphens w:val="0"/>
        <w:contextualSpacing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300mm SMP (vessels under 12m may use a 200mm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smp</w:t>
      </w:r>
      <w:proofErr w:type="spellEnd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); </w:t>
      </w:r>
    </w:p>
    <w:p w:rsidR="00903312" w:rsidRPr="00903312" w:rsidRDefault="00903312" w:rsidP="00903312">
      <w:pPr>
        <w:numPr>
          <w:ilvl w:val="0"/>
          <w:numId w:val="6"/>
        </w:numPr>
        <w:suppressAutoHyphens w:val="0"/>
        <w:contextualSpacing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SELTRA box trawl with 270mm diamond mesh or 300mm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smp</w:t>
      </w:r>
      <w:proofErr w:type="spellEnd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; </w:t>
      </w:r>
    </w:p>
    <w:p w:rsidR="00903312" w:rsidRPr="00903312" w:rsidRDefault="00903312" w:rsidP="00903312">
      <w:pPr>
        <w:numPr>
          <w:ilvl w:val="0"/>
          <w:numId w:val="6"/>
        </w:numPr>
        <w:suppressAutoHyphens w:val="0"/>
        <w:spacing w:after="0"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Sorting Grid with 35mm bar spacing as defined in Annex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XIVa</w:t>
      </w:r>
      <w:proofErr w:type="spellEnd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to Regulation (EC) 850/98;</w:t>
      </w:r>
    </w:p>
    <w:p w:rsidR="00903312" w:rsidRPr="00903312" w:rsidRDefault="00903312" w:rsidP="00903312">
      <w:pPr>
        <w:numPr>
          <w:ilvl w:val="0"/>
          <w:numId w:val="6"/>
        </w:numPr>
        <w:suppressAutoHyphens w:val="0"/>
        <w:spacing w:after="0"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CEFAS Net grid</w:t>
      </w:r>
      <w:r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(Irish Sea only)</w:t>
      </w: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;</w:t>
      </w:r>
    </w:p>
    <w:p w:rsidR="00903312" w:rsidRPr="00BB0B85" w:rsidRDefault="00903312" w:rsidP="00903312">
      <w:pPr>
        <w:numPr>
          <w:ilvl w:val="0"/>
          <w:numId w:val="6"/>
        </w:numPr>
        <w:suppressAutoHyphens w:val="0"/>
        <w:spacing w:after="0"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Flip-flap trawl of specification defined</w:t>
      </w:r>
      <w:r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(Irish Sea only);</w:t>
      </w:r>
    </w:p>
    <w:p w:rsidR="00903312" w:rsidRPr="00BB0B85" w:rsidRDefault="00903312" w:rsidP="00903312">
      <w:pPr>
        <w:numPr>
          <w:ilvl w:val="0"/>
          <w:numId w:val="6"/>
        </w:numPr>
        <w:suppressAutoHyphens w:val="0"/>
        <w:spacing w:after="0"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BB0B85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100mm +100mm </w:t>
      </w:r>
      <w:proofErr w:type="spellStart"/>
      <w:r w:rsidRPr="00BB0B85">
        <w:rPr>
          <w:rFonts w:ascii="Arial" w:eastAsiaTheme="minorHAnsi" w:hAnsi="Arial" w:cs="Arial"/>
          <w:kern w:val="0"/>
          <w:sz w:val="24"/>
          <w:szCs w:val="24"/>
          <w:lang w:val="en-IE"/>
        </w:rPr>
        <w:t>smp</w:t>
      </w:r>
      <w:proofErr w:type="spellEnd"/>
      <w:r w:rsidRPr="00BB0B85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(Celtic Sea Protection Zone only)</w:t>
      </w:r>
    </w:p>
    <w:p w:rsidR="00903312" w:rsidRPr="00903312" w:rsidRDefault="00903312" w:rsidP="00903312">
      <w:pPr>
        <w:suppressAutoHyphens w:val="0"/>
        <w:spacing w:after="0"/>
        <w:ind w:left="720"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</w:p>
    <w:p w:rsidR="004B6585" w:rsidRDefault="00F300EB" w:rsidP="004B65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In addition this exemption would apply to bottom trawls with a mesh size of greater than or equal to 100mm (TR1) </w:t>
      </w:r>
      <w:r w:rsidR="00981E85">
        <w:rPr>
          <w:rFonts w:ascii="Arial" w:hAnsi="Arial" w:cs="Arial"/>
          <w:color w:val="000000"/>
          <w:kern w:val="1"/>
          <w:sz w:val="24"/>
          <w:szCs w:val="24"/>
        </w:rPr>
        <w:t xml:space="preserve">in the Celtic Sea Protection Zone </w:t>
      </w:r>
      <w:r>
        <w:rPr>
          <w:rFonts w:ascii="Arial" w:hAnsi="Arial" w:cs="Arial"/>
          <w:color w:val="000000"/>
          <w:kern w:val="1"/>
          <w:sz w:val="24"/>
          <w:szCs w:val="24"/>
        </w:rPr>
        <w:t>provided one of the gear options listed for fisheries targeting gadoids is used</w:t>
      </w:r>
      <w:r w:rsidR="00903312">
        <w:rPr>
          <w:rFonts w:ascii="Arial" w:hAnsi="Arial" w:cs="Arial"/>
          <w:color w:val="000000"/>
          <w:kern w:val="1"/>
          <w:sz w:val="24"/>
          <w:szCs w:val="24"/>
        </w:rPr>
        <w:t xml:space="preserve"> as follows:</w:t>
      </w:r>
    </w:p>
    <w:p w:rsidR="00903312" w:rsidRPr="00903312" w:rsidRDefault="00903312" w:rsidP="00903312">
      <w:pPr>
        <w:numPr>
          <w:ilvl w:val="0"/>
          <w:numId w:val="3"/>
        </w:numPr>
        <w:suppressAutoHyphens w:val="0"/>
        <w:contextualSpacing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110mm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codend</w:t>
      </w:r>
      <w:proofErr w:type="spellEnd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+120mm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smp</w:t>
      </w:r>
      <w:proofErr w:type="spellEnd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; or</w:t>
      </w:r>
    </w:p>
    <w:p w:rsidR="00903312" w:rsidRDefault="00903312" w:rsidP="00903312">
      <w:pPr>
        <w:numPr>
          <w:ilvl w:val="0"/>
          <w:numId w:val="3"/>
        </w:numPr>
        <w:suppressAutoHyphens w:val="0"/>
        <w:contextualSpacing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100mm T90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codend</w:t>
      </w:r>
      <w:proofErr w:type="spellEnd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with the possibility of increasing mesh size to 110mm from </w:t>
      </w:r>
      <w:r>
        <w:rPr>
          <w:rFonts w:ascii="Arial" w:eastAsiaTheme="minorHAnsi" w:hAnsi="Arial" w:cs="Arial"/>
          <w:kern w:val="0"/>
          <w:sz w:val="24"/>
          <w:szCs w:val="24"/>
          <w:lang w:val="en-IE"/>
        </w:rPr>
        <w:t>1</w:t>
      </w:r>
      <w:r w:rsidRPr="00903312">
        <w:rPr>
          <w:rFonts w:ascii="Arial" w:eastAsiaTheme="minorHAnsi" w:hAnsi="Arial" w:cs="Arial"/>
          <w:kern w:val="0"/>
          <w:sz w:val="24"/>
          <w:szCs w:val="24"/>
          <w:vertAlign w:val="superscript"/>
          <w:lang w:val="en-IE"/>
        </w:rPr>
        <w:t>st</w:t>
      </w:r>
      <w:r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July</w:t>
      </w: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 2020 depending on the results of further trials; or</w:t>
      </w:r>
    </w:p>
    <w:p w:rsidR="00903312" w:rsidRPr="00903312" w:rsidRDefault="00903312" w:rsidP="00903312">
      <w:pPr>
        <w:numPr>
          <w:ilvl w:val="0"/>
          <w:numId w:val="3"/>
        </w:numPr>
        <w:suppressAutoHyphens w:val="0"/>
        <w:contextualSpacing/>
        <w:jc w:val="both"/>
        <w:rPr>
          <w:rFonts w:ascii="Arial" w:eastAsiaTheme="minorHAnsi" w:hAnsi="Arial" w:cs="Arial"/>
          <w:kern w:val="0"/>
          <w:sz w:val="24"/>
          <w:szCs w:val="24"/>
          <w:lang w:val="en-IE"/>
        </w:rPr>
      </w:pPr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 xml:space="preserve">100mm+160mm </w:t>
      </w:r>
      <w:proofErr w:type="spellStart"/>
      <w:r w:rsidRPr="00903312">
        <w:rPr>
          <w:rFonts w:ascii="Arial" w:eastAsiaTheme="minorHAnsi" w:hAnsi="Arial" w:cs="Arial"/>
          <w:kern w:val="0"/>
          <w:sz w:val="24"/>
          <w:szCs w:val="24"/>
          <w:lang w:val="en-IE"/>
        </w:rPr>
        <w:t>smp</w:t>
      </w:r>
      <w:proofErr w:type="spellEnd"/>
    </w:p>
    <w:p w:rsidR="00981E85" w:rsidRDefault="00981E85" w:rsidP="004B65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1D7131" w:rsidRDefault="004B6585" w:rsidP="00903312">
      <w:pPr>
        <w:spacing w:after="120"/>
        <w:jc w:val="both"/>
        <w:rPr>
          <w:rFonts w:ascii="Arial" w:hAnsi="Arial"/>
          <w:sz w:val="24"/>
          <w:lang w:val="en-US"/>
        </w:rPr>
      </w:pPr>
      <w:r w:rsidRPr="004B6585">
        <w:rPr>
          <w:rFonts w:ascii="Arial" w:hAnsi="Arial" w:cs="Arial"/>
          <w:kern w:val="1"/>
          <w:sz w:val="24"/>
          <w:szCs w:val="24"/>
        </w:rPr>
        <w:t xml:space="preserve">The scientific evidence underpinning the exemption is based on </w:t>
      </w:r>
      <w:r>
        <w:rPr>
          <w:rFonts w:ascii="Arial" w:hAnsi="Arial" w:cs="Arial"/>
          <w:kern w:val="1"/>
          <w:sz w:val="24"/>
          <w:szCs w:val="24"/>
        </w:rPr>
        <w:t>survivability trials</w:t>
      </w:r>
      <w:r w:rsidRPr="004B6585">
        <w:rPr>
          <w:rFonts w:ascii="Arial" w:hAnsi="Arial" w:cs="Arial"/>
          <w:kern w:val="1"/>
          <w:sz w:val="24"/>
          <w:szCs w:val="24"/>
        </w:rPr>
        <w:t xml:space="preserve"> carried out in Ireland </w:t>
      </w:r>
      <w:r>
        <w:rPr>
          <w:rFonts w:ascii="Arial" w:hAnsi="Arial" w:cs="Arial"/>
          <w:kern w:val="1"/>
          <w:sz w:val="24"/>
          <w:szCs w:val="24"/>
        </w:rPr>
        <w:t xml:space="preserve">in 2017. These trials </w:t>
      </w:r>
      <w:r>
        <w:rPr>
          <w:rFonts w:ascii="Arial" w:hAnsi="Arial"/>
          <w:sz w:val="24"/>
          <w:lang w:val="en-US"/>
        </w:rPr>
        <w:t xml:space="preserve">were carried out in the </w:t>
      </w:r>
      <w:r w:rsidRPr="009D349D">
        <w:rPr>
          <w:rFonts w:ascii="Arial" w:hAnsi="Arial"/>
          <w:i/>
          <w:sz w:val="24"/>
          <w:lang w:val="en-US"/>
        </w:rPr>
        <w:t>Nephrops</w:t>
      </w:r>
      <w:r>
        <w:rPr>
          <w:rFonts w:ascii="Arial" w:hAnsi="Arial"/>
          <w:sz w:val="24"/>
          <w:lang w:val="en-US"/>
        </w:rPr>
        <w:t xml:space="preserve"> fishery in ICES division VIIb off the coast of Galway reports a survival rate of 64% with a trawl fitted with a SELTRA codend. The trials were conducted during the summer months when air and water temperatures were exceptionally high which provided a worst case survival estimate. See Annex </w:t>
      </w:r>
      <w:proofErr w:type="spellStart"/>
      <w:r w:rsidR="00981E85">
        <w:rPr>
          <w:rFonts w:ascii="Arial" w:hAnsi="Arial"/>
          <w:sz w:val="24"/>
          <w:lang w:val="en-US"/>
        </w:rPr>
        <w:t>Ib</w:t>
      </w:r>
      <w:proofErr w:type="spellEnd"/>
      <w:r>
        <w:rPr>
          <w:rFonts w:ascii="Arial" w:hAnsi="Arial"/>
          <w:sz w:val="24"/>
          <w:lang w:val="en-US"/>
        </w:rPr>
        <w:t xml:space="preserve"> for details of these trials.</w:t>
      </w:r>
      <w:r w:rsidR="00F300EB">
        <w:rPr>
          <w:rFonts w:ascii="Arial" w:hAnsi="Arial"/>
          <w:sz w:val="24"/>
          <w:lang w:val="en-US"/>
        </w:rPr>
        <w:t xml:space="preserve"> </w:t>
      </w:r>
      <w:r w:rsidR="001D7131">
        <w:rPr>
          <w:rFonts w:ascii="Arial" w:hAnsi="Arial"/>
          <w:sz w:val="24"/>
          <w:lang w:val="en-US"/>
        </w:rPr>
        <w:t xml:space="preserve">Further survivability trials are planned by Northern Ireland, specifically with a 300mm </w:t>
      </w:r>
      <w:proofErr w:type="spellStart"/>
      <w:r w:rsidR="001D7131">
        <w:rPr>
          <w:rFonts w:ascii="Arial" w:hAnsi="Arial"/>
          <w:sz w:val="24"/>
          <w:lang w:val="en-US"/>
        </w:rPr>
        <w:t>smp</w:t>
      </w:r>
      <w:proofErr w:type="spellEnd"/>
      <w:r w:rsidR="001D7131">
        <w:rPr>
          <w:rFonts w:ascii="Arial" w:hAnsi="Arial"/>
          <w:sz w:val="24"/>
          <w:lang w:val="en-US"/>
        </w:rPr>
        <w:t xml:space="preserve"> later in 2018. The results of these trials will provide further information to support this exemption.</w:t>
      </w:r>
      <w:bookmarkStart w:id="0" w:name="_GoBack"/>
      <w:bookmarkEnd w:id="0"/>
    </w:p>
    <w:p w:rsidR="00981E85" w:rsidRDefault="00F300EB" w:rsidP="00903312">
      <w:pPr>
        <w:spacing w:after="1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 addition high survivability trials with a net grid carried out in the </w:t>
      </w:r>
      <w:proofErr w:type="spellStart"/>
      <w:r>
        <w:rPr>
          <w:rFonts w:ascii="Arial" w:hAnsi="Arial"/>
          <w:sz w:val="24"/>
          <w:lang w:val="en-US"/>
        </w:rPr>
        <w:t>Farne</w:t>
      </w:r>
      <w:proofErr w:type="spellEnd"/>
      <w:r>
        <w:rPr>
          <w:rFonts w:ascii="Arial" w:hAnsi="Arial"/>
          <w:sz w:val="24"/>
          <w:lang w:val="en-US"/>
        </w:rPr>
        <w:t xml:space="preserve"> Deeps which showed survivability </w:t>
      </w:r>
      <w:r w:rsidR="00981E85">
        <w:rPr>
          <w:rFonts w:ascii="Arial" w:hAnsi="Arial"/>
          <w:sz w:val="24"/>
          <w:lang w:val="en-US"/>
        </w:rPr>
        <w:t>rate of 62</w:t>
      </w:r>
      <w:r>
        <w:rPr>
          <w:rFonts w:ascii="Arial" w:hAnsi="Arial"/>
          <w:sz w:val="24"/>
          <w:lang w:val="en-US"/>
        </w:rPr>
        <w:t xml:space="preserve">% in this </w:t>
      </w:r>
      <w:proofErr w:type="spellStart"/>
      <w:r w:rsidRPr="00981E85">
        <w:rPr>
          <w:rFonts w:ascii="Arial" w:hAnsi="Arial"/>
          <w:i/>
          <w:sz w:val="24"/>
          <w:lang w:val="en-US"/>
        </w:rPr>
        <w:t>Nephrops</w:t>
      </w:r>
      <w:proofErr w:type="spellEnd"/>
      <w:r>
        <w:rPr>
          <w:rFonts w:ascii="Arial" w:hAnsi="Arial"/>
          <w:sz w:val="24"/>
          <w:lang w:val="en-US"/>
        </w:rPr>
        <w:t xml:space="preserve"> fishery with this device is also relevant to this exemption</w:t>
      </w:r>
      <w:r w:rsidR="00981E85">
        <w:rPr>
          <w:rFonts w:ascii="Arial" w:hAnsi="Arial"/>
          <w:sz w:val="24"/>
          <w:lang w:val="en-US"/>
        </w:rPr>
        <w:t xml:space="preserve"> (See STECF 17-08 and 16-08)</w:t>
      </w:r>
      <w:r>
        <w:rPr>
          <w:rFonts w:ascii="Arial" w:hAnsi="Arial"/>
          <w:sz w:val="24"/>
          <w:lang w:val="en-US"/>
        </w:rPr>
        <w:t>.</w:t>
      </w:r>
      <w:r w:rsidR="00903312">
        <w:rPr>
          <w:rFonts w:ascii="Arial" w:hAnsi="Arial"/>
          <w:sz w:val="24"/>
          <w:lang w:val="en-US"/>
        </w:rPr>
        <w:t xml:space="preserve"> </w:t>
      </w:r>
      <w:r w:rsidR="00981E85">
        <w:rPr>
          <w:rFonts w:ascii="Arial" w:hAnsi="Arial"/>
          <w:sz w:val="24"/>
          <w:lang w:val="en-US"/>
        </w:rPr>
        <w:t xml:space="preserve">The flip-flap trawl is a similar gear type to the Net grid and it is likely that the survival rates with this gear </w:t>
      </w:r>
      <w:r w:rsidR="00981E85">
        <w:rPr>
          <w:rFonts w:ascii="Arial" w:hAnsi="Arial"/>
          <w:sz w:val="24"/>
          <w:lang w:val="en-US"/>
        </w:rPr>
        <w:lastRenderedPageBreak/>
        <w:t>would be similar to the Net grid given that these gears give similar reductions in catches which based on the BIM trials is critical to high survivability.</w:t>
      </w:r>
      <w:r w:rsidR="001D7131">
        <w:rPr>
          <w:rFonts w:ascii="Arial" w:hAnsi="Arial"/>
          <w:sz w:val="24"/>
          <w:lang w:val="en-US"/>
        </w:rPr>
        <w:t xml:space="preserve"> </w:t>
      </w:r>
    </w:p>
    <w:p w:rsidR="007170CE" w:rsidRDefault="00F300EB" w:rsidP="00981E85">
      <w:pPr>
        <w:spacing w:after="1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IE"/>
        </w:rPr>
      </w:pPr>
      <w:r w:rsidRPr="00F300EB">
        <w:rPr>
          <w:rFonts w:ascii="Arial" w:hAnsi="Arial" w:cs="Arial"/>
          <w:sz w:val="24"/>
          <w:szCs w:val="24"/>
        </w:rPr>
        <w:t>In all cases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125CE">
        <w:rPr>
          <w:rFonts w:ascii="Arial" w:hAnsi="Arial" w:cs="Arial"/>
          <w:i/>
          <w:sz w:val="24"/>
          <w:szCs w:val="24"/>
        </w:rPr>
        <w:t>Nephrops</w:t>
      </w:r>
      <w:proofErr w:type="spellEnd"/>
      <w:r w:rsidR="001125CE">
        <w:rPr>
          <w:rFonts w:ascii="Arial" w:hAnsi="Arial" w:cs="Arial"/>
          <w:i/>
          <w:sz w:val="24"/>
          <w:szCs w:val="24"/>
        </w:rPr>
        <w:t xml:space="preserve"> </w:t>
      </w:r>
      <w:r w:rsidR="001125CE">
        <w:rPr>
          <w:rFonts w:ascii="Arial" w:hAnsi="Arial" w:cs="Arial"/>
          <w:sz w:val="24"/>
          <w:szCs w:val="24"/>
        </w:rPr>
        <w:t>should be discarded swiftly and in the immediate areas where they have been caught.</w:t>
      </w:r>
      <w:r w:rsidR="00981E85">
        <w:rPr>
          <w:rFonts w:ascii="Arial" w:hAnsi="Arial" w:cs="Arial"/>
          <w:sz w:val="24"/>
          <w:szCs w:val="24"/>
        </w:rPr>
        <w:t xml:space="preserve"> </w:t>
      </w:r>
      <w:r w:rsidR="00653843">
        <w:rPr>
          <w:rFonts w:ascii="Arial" w:hAnsi="Arial" w:cs="Arial"/>
          <w:sz w:val="24"/>
          <w:szCs w:val="24"/>
        </w:rPr>
        <w:t xml:space="preserve">Discard rates for </w:t>
      </w:r>
      <w:proofErr w:type="spellStart"/>
      <w:r w:rsidR="00653843">
        <w:rPr>
          <w:rFonts w:ascii="Arial" w:hAnsi="Arial" w:cs="Arial"/>
          <w:i/>
          <w:sz w:val="24"/>
          <w:szCs w:val="24"/>
        </w:rPr>
        <w:t>Nephrops</w:t>
      </w:r>
      <w:proofErr w:type="spellEnd"/>
      <w:r w:rsidR="00653843">
        <w:rPr>
          <w:rFonts w:ascii="Arial" w:hAnsi="Arial" w:cs="Arial"/>
          <w:i/>
          <w:sz w:val="24"/>
          <w:szCs w:val="24"/>
        </w:rPr>
        <w:t xml:space="preserve"> </w:t>
      </w:r>
      <w:r w:rsidR="00653843">
        <w:rPr>
          <w:rFonts w:ascii="Arial" w:hAnsi="Arial" w:cs="Arial"/>
          <w:sz w:val="24"/>
          <w:szCs w:val="24"/>
        </w:rPr>
        <w:t xml:space="preserve">in the fisheries using trawls are estimated at less than </w:t>
      </w:r>
      <w:r w:rsidR="004B6585">
        <w:rPr>
          <w:rFonts w:ascii="Arial" w:hAnsi="Arial" w:cs="Arial"/>
          <w:sz w:val="24"/>
          <w:szCs w:val="24"/>
        </w:rPr>
        <w:t xml:space="preserve">16% by weight in ICES area VII based on </w:t>
      </w:r>
      <w:r w:rsidR="00B15E89">
        <w:rPr>
          <w:rFonts w:ascii="Arial" w:hAnsi="Arial" w:cs="Arial"/>
          <w:sz w:val="24"/>
          <w:szCs w:val="24"/>
        </w:rPr>
        <w:t>2016</w:t>
      </w:r>
      <w:r w:rsidR="00653843">
        <w:rPr>
          <w:rFonts w:ascii="Arial" w:hAnsi="Arial" w:cs="Arial"/>
          <w:sz w:val="24"/>
          <w:szCs w:val="24"/>
        </w:rPr>
        <w:t xml:space="preserve"> </w:t>
      </w:r>
      <w:r w:rsidR="004B6585">
        <w:rPr>
          <w:rFonts w:ascii="Arial" w:hAnsi="Arial" w:cs="Arial"/>
          <w:sz w:val="24"/>
          <w:szCs w:val="24"/>
        </w:rPr>
        <w:t>STECF</w:t>
      </w:r>
      <w:r w:rsidR="00A12884">
        <w:rPr>
          <w:rFonts w:ascii="Arial" w:hAnsi="Arial" w:cs="Arial"/>
          <w:sz w:val="24"/>
          <w:szCs w:val="24"/>
        </w:rPr>
        <w:t xml:space="preserve"> catch</w:t>
      </w:r>
      <w:r w:rsidR="004B6585">
        <w:rPr>
          <w:rFonts w:ascii="Arial" w:hAnsi="Arial" w:cs="Arial"/>
          <w:sz w:val="24"/>
          <w:szCs w:val="24"/>
        </w:rPr>
        <w:t xml:space="preserve"> </w:t>
      </w:r>
      <w:r w:rsidR="001125CE">
        <w:rPr>
          <w:rFonts w:ascii="Arial" w:hAnsi="Arial" w:cs="Arial"/>
          <w:sz w:val="24"/>
          <w:szCs w:val="24"/>
        </w:rPr>
        <w:t>data</w:t>
      </w:r>
      <w:r w:rsidR="00653843">
        <w:rPr>
          <w:rFonts w:ascii="Arial" w:hAnsi="Arial" w:cs="Arial"/>
          <w:sz w:val="24"/>
          <w:szCs w:val="24"/>
        </w:rPr>
        <w:t xml:space="preserve">. </w:t>
      </w:r>
      <w:r w:rsidR="00DA710B">
        <w:rPr>
          <w:rFonts w:ascii="Arial" w:eastAsia="Times New Roman" w:hAnsi="Arial" w:cs="Arial"/>
          <w:bCs/>
          <w:kern w:val="0"/>
          <w:sz w:val="24"/>
          <w:szCs w:val="24"/>
          <w:lang w:val="en-IE"/>
        </w:rPr>
        <w:t xml:space="preserve">Based on this data a summary of the proposed de </w:t>
      </w:r>
      <w:proofErr w:type="spellStart"/>
      <w:r w:rsidR="00DA710B">
        <w:rPr>
          <w:rFonts w:ascii="Arial" w:eastAsia="Times New Roman" w:hAnsi="Arial" w:cs="Arial"/>
          <w:bCs/>
          <w:kern w:val="0"/>
          <w:sz w:val="24"/>
          <w:szCs w:val="24"/>
          <w:lang w:val="en-IE"/>
        </w:rPr>
        <w:t>minimis</w:t>
      </w:r>
      <w:proofErr w:type="spellEnd"/>
      <w:r w:rsidR="00DA710B">
        <w:rPr>
          <w:rFonts w:ascii="Arial" w:eastAsia="Times New Roman" w:hAnsi="Arial" w:cs="Arial"/>
          <w:bCs/>
          <w:kern w:val="0"/>
          <w:sz w:val="24"/>
          <w:szCs w:val="24"/>
          <w:lang w:val="en-IE"/>
        </w:rPr>
        <w:t xml:space="preserve"> exemptions is shown in Table 1.</w:t>
      </w:r>
    </w:p>
    <w:p w:rsidR="00981E85" w:rsidRPr="00981E85" w:rsidRDefault="00981E85" w:rsidP="00981E85">
      <w:pPr>
        <w:spacing w:after="120"/>
        <w:jc w:val="both"/>
        <w:rPr>
          <w:rFonts w:ascii="Arial" w:hAnsi="Arial"/>
          <w:sz w:val="24"/>
          <w:lang w:val="en-US"/>
        </w:rPr>
        <w:sectPr w:rsidR="00981E85" w:rsidRPr="00981E85" w:rsidSect="00114BA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A710B" w:rsidRDefault="00DA710B" w:rsidP="00DA71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IE"/>
        </w:rPr>
      </w:pPr>
    </w:p>
    <w:p w:rsidR="00DA710B" w:rsidRDefault="00DA710B">
      <w:pPr>
        <w:suppressAutoHyphens w:val="0"/>
        <w:rPr>
          <w:rFonts w:ascii="Arial" w:eastAsia="Times New Roman" w:hAnsi="Arial" w:cs="Arial"/>
          <w:bCs/>
          <w:kern w:val="0"/>
          <w:sz w:val="24"/>
          <w:szCs w:val="24"/>
          <w:lang w:val="en-IE"/>
        </w:rPr>
      </w:pPr>
    </w:p>
    <w:p w:rsidR="00653843" w:rsidRPr="00981E85" w:rsidRDefault="00981E85" w:rsidP="00DA71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en-IE"/>
        </w:rPr>
      </w:pPr>
      <w:r w:rsidRPr="00981E85">
        <w:rPr>
          <w:rFonts w:ascii="Arial" w:eastAsia="Times New Roman" w:hAnsi="Arial" w:cs="Arial"/>
          <w:b/>
          <w:bCs/>
          <w:kern w:val="0"/>
          <w:sz w:val="20"/>
          <w:szCs w:val="20"/>
          <w:lang w:val="en-IE"/>
        </w:rPr>
        <w:t xml:space="preserve">Table 1 </w:t>
      </w:r>
      <w:r w:rsidRPr="00981E85">
        <w:rPr>
          <w:rFonts w:ascii="Arial" w:hAnsi="Arial" w:cs="Arial"/>
          <w:b/>
          <w:sz w:val="20"/>
          <w:szCs w:val="20"/>
        </w:rPr>
        <w:t>Completed STECF table for high survivability proposal</w:t>
      </w:r>
      <w:r>
        <w:rPr>
          <w:rFonts w:ascii="Arial" w:hAnsi="Arial" w:cs="Arial"/>
          <w:b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b/>
          <w:sz w:val="20"/>
          <w:szCs w:val="20"/>
        </w:rPr>
        <w:t>Nephrops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VII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927"/>
        <w:gridCol w:w="1543"/>
        <w:gridCol w:w="1589"/>
        <w:gridCol w:w="1589"/>
        <w:gridCol w:w="1589"/>
        <w:gridCol w:w="1589"/>
        <w:gridCol w:w="1537"/>
        <w:gridCol w:w="1589"/>
      </w:tblGrid>
      <w:tr w:rsidR="00DA710B" w:rsidRPr="00DA710B" w:rsidTr="00487E7A">
        <w:tc>
          <w:tcPr>
            <w:tcW w:w="1235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Country</w:t>
            </w:r>
          </w:p>
        </w:tc>
        <w:tc>
          <w:tcPr>
            <w:tcW w:w="2000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Exemption applied for (species, area, gear type)</w:t>
            </w:r>
          </w:p>
        </w:tc>
        <w:tc>
          <w:tcPr>
            <w:tcW w:w="1606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Species as bycatch or target</w:t>
            </w:r>
          </w:p>
        </w:tc>
        <w:tc>
          <w:tcPr>
            <w:tcW w:w="1623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Number of vessels subject to the landing obligation </w:t>
            </w:r>
          </w:p>
        </w:tc>
        <w:tc>
          <w:tcPr>
            <w:tcW w:w="1623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Landings (by landing obligation subject vessels)</w:t>
            </w:r>
          </w:p>
        </w:tc>
        <w:tc>
          <w:tcPr>
            <w:tcW w:w="1623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Estimated Discards</w:t>
            </w:r>
          </w:p>
        </w:tc>
        <w:tc>
          <w:tcPr>
            <w:tcW w:w="1623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Estimated Catch</w:t>
            </w:r>
          </w:p>
        </w:tc>
        <w:tc>
          <w:tcPr>
            <w:tcW w:w="1604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Discard Rate</w:t>
            </w:r>
          </w:p>
        </w:tc>
        <w:tc>
          <w:tcPr>
            <w:tcW w:w="1623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b/>
                <w:kern w:val="0"/>
                <w:sz w:val="24"/>
                <w:szCs w:val="24"/>
              </w:rPr>
              <w:t>Estimated discard survival rate from provided studies</w:t>
            </w:r>
          </w:p>
        </w:tc>
      </w:tr>
      <w:tr w:rsidR="00DA710B" w:rsidRPr="00DA710B" w:rsidTr="00487E7A">
        <w:tc>
          <w:tcPr>
            <w:tcW w:w="1235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IE</w:t>
            </w:r>
          </w:p>
        </w:tc>
        <w:tc>
          <w:tcPr>
            <w:tcW w:w="2000" w:type="dxa"/>
          </w:tcPr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  <w:szCs w:val="24"/>
              </w:rPr>
              <w:t>Nephrops</w:t>
            </w:r>
            <w:proofErr w:type="spellEnd"/>
          </w:p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VII (including </w:t>
            </w:r>
            <w:proofErr w:type="spellStart"/>
            <w:r>
              <w:rPr>
                <w:rFonts w:ascii="Arial" w:hAnsi="Arial" w:cs="Arial"/>
                <w:kern w:val="0"/>
                <w:sz w:val="24"/>
                <w:szCs w:val="24"/>
              </w:rPr>
              <w:t>VIIa</w:t>
            </w:r>
            <w:proofErr w:type="spellEnd"/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but excluding </w:t>
            </w:r>
            <w:proofErr w:type="spellStart"/>
            <w:r>
              <w:rPr>
                <w:rFonts w:ascii="Arial" w:hAnsi="Arial" w:cs="Arial"/>
                <w:kern w:val="0"/>
                <w:sz w:val="24"/>
                <w:szCs w:val="24"/>
              </w:rPr>
              <w:t>VIId</w:t>
            </w:r>
            <w:proofErr w:type="spellEnd"/>
            <w:r>
              <w:rPr>
                <w:rFonts w:ascii="Arial" w:hAnsi="Arial" w:cs="Arial"/>
                <w:kern w:val="0"/>
                <w:sz w:val="24"/>
                <w:szCs w:val="24"/>
              </w:rPr>
              <w:t>)</w:t>
            </w:r>
          </w:p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kern w:val="0"/>
                <w:sz w:val="24"/>
                <w:szCs w:val="24"/>
              </w:rPr>
              <w:t>TR vessels using Otter Trawls</w:t>
            </w:r>
          </w:p>
        </w:tc>
        <w:tc>
          <w:tcPr>
            <w:tcW w:w="1606" w:type="dxa"/>
          </w:tcPr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Target and Bycatch</w:t>
            </w:r>
            <w:r w:rsidR="00DA710B" w:rsidRPr="00DA710B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</w:tcPr>
          <w:p w:rsidR="00DA710B" w:rsidRPr="00DA710B" w:rsidRDefault="004F4636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23" w:type="dxa"/>
          </w:tcPr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9148</w:t>
            </w:r>
          </w:p>
        </w:tc>
        <w:tc>
          <w:tcPr>
            <w:tcW w:w="1623" w:type="dxa"/>
          </w:tcPr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1735</w:t>
            </w:r>
          </w:p>
        </w:tc>
        <w:tc>
          <w:tcPr>
            <w:tcW w:w="1623" w:type="dxa"/>
          </w:tcPr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10883</w:t>
            </w:r>
          </w:p>
        </w:tc>
        <w:tc>
          <w:tcPr>
            <w:tcW w:w="1604" w:type="dxa"/>
          </w:tcPr>
          <w:p w:rsidR="00DA710B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16</w:t>
            </w:r>
            <w:r w:rsidR="00DA710B" w:rsidRPr="00DA710B">
              <w:rPr>
                <w:rFonts w:ascii="Arial" w:hAnsi="Arial" w:cs="Arial"/>
                <w:kern w:val="0"/>
                <w:sz w:val="24"/>
                <w:szCs w:val="24"/>
              </w:rPr>
              <w:t>%</w:t>
            </w:r>
          </w:p>
        </w:tc>
        <w:tc>
          <w:tcPr>
            <w:tcW w:w="1623" w:type="dxa"/>
          </w:tcPr>
          <w:p w:rsidR="00DA710B" w:rsidRPr="00DA710B" w:rsidRDefault="00DA710B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kern w:val="0"/>
                <w:sz w:val="24"/>
                <w:szCs w:val="24"/>
              </w:rPr>
              <w:t>64%</w:t>
            </w:r>
          </w:p>
        </w:tc>
      </w:tr>
      <w:tr w:rsidR="007170CE" w:rsidRPr="00DA710B" w:rsidTr="00487E7A">
        <w:tc>
          <w:tcPr>
            <w:tcW w:w="1235" w:type="dxa"/>
          </w:tcPr>
          <w:p w:rsidR="007170CE" w:rsidRDefault="00405DC1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UK</w:t>
            </w:r>
          </w:p>
        </w:tc>
        <w:tc>
          <w:tcPr>
            <w:tcW w:w="2000" w:type="dxa"/>
          </w:tcPr>
          <w:p w:rsidR="00405DC1" w:rsidRPr="00DA710B" w:rsidRDefault="00405DC1" w:rsidP="00405DC1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  <w:szCs w:val="24"/>
              </w:rPr>
              <w:t>Nephrops</w:t>
            </w:r>
            <w:proofErr w:type="spellEnd"/>
          </w:p>
          <w:p w:rsidR="00405DC1" w:rsidRDefault="00405DC1" w:rsidP="00405DC1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  <w:szCs w:val="24"/>
              </w:rPr>
              <w:t>VIIa</w:t>
            </w:r>
            <w:proofErr w:type="spellEnd"/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  <w:p w:rsidR="007170CE" w:rsidRDefault="00405DC1" w:rsidP="00405DC1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DA710B">
              <w:rPr>
                <w:rFonts w:ascii="Arial" w:hAnsi="Arial" w:cs="Arial"/>
                <w:kern w:val="0"/>
                <w:sz w:val="24"/>
                <w:szCs w:val="24"/>
              </w:rPr>
              <w:t>TR vessels using Otter Trawls</w:t>
            </w:r>
          </w:p>
        </w:tc>
        <w:tc>
          <w:tcPr>
            <w:tcW w:w="1606" w:type="dxa"/>
          </w:tcPr>
          <w:p w:rsidR="007170CE" w:rsidRDefault="00405DC1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Target</w:t>
            </w:r>
          </w:p>
        </w:tc>
        <w:tc>
          <w:tcPr>
            <w:tcW w:w="1623" w:type="dxa"/>
          </w:tcPr>
          <w:p w:rsidR="007170CE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7170CE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7170CE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7170CE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04" w:type="dxa"/>
          </w:tcPr>
          <w:p w:rsidR="007170CE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7170CE" w:rsidRPr="00DA710B" w:rsidRDefault="007170CE" w:rsidP="00DA710B">
            <w:pPr>
              <w:suppressAutoHyphens w:val="0"/>
              <w:spacing w:before="240" w:after="1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DA710B" w:rsidRDefault="00DA710B" w:rsidP="00653843">
      <w:pPr>
        <w:rPr>
          <w:rFonts w:ascii="Arial" w:hAnsi="Arial" w:cs="Arial"/>
          <w:sz w:val="24"/>
          <w:szCs w:val="24"/>
        </w:rPr>
      </w:pPr>
    </w:p>
    <w:p w:rsidR="00653843" w:rsidRDefault="00653843"/>
    <w:sectPr w:rsidR="00653843" w:rsidSect="007170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9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167AAE"/>
    <w:multiLevelType w:val="hybridMultilevel"/>
    <w:tmpl w:val="3DCE64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024B2"/>
    <w:multiLevelType w:val="hybridMultilevel"/>
    <w:tmpl w:val="110A0B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227"/>
    <w:multiLevelType w:val="hybridMultilevel"/>
    <w:tmpl w:val="D1900FA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BF6021B"/>
    <w:multiLevelType w:val="hybridMultilevel"/>
    <w:tmpl w:val="EFBA37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3032C"/>
    <w:multiLevelType w:val="hybridMultilevel"/>
    <w:tmpl w:val="CB3EB8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43"/>
    <w:rsid w:val="00092E8B"/>
    <w:rsid w:val="000A757F"/>
    <w:rsid w:val="001076A6"/>
    <w:rsid w:val="001125CE"/>
    <w:rsid w:val="00114BA9"/>
    <w:rsid w:val="001D7131"/>
    <w:rsid w:val="0023336A"/>
    <w:rsid w:val="002B1749"/>
    <w:rsid w:val="002B3E30"/>
    <w:rsid w:val="002D1456"/>
    <w:rsid w:val="003715BA"/>
    <w:rsid w:val="00405DC1"/>
    <w:rsid w:val="0044389C"/>
    <w:rsid w:val="0049177B"/>
    <w:rsid w:val="004B6585"/>
    <w:rsid w:val="004F4636"/>
    <w:rsid w:val="005C04B5"/>
    <w:rsid w:val="00653843"/>
    <w:rsid w:val="007170CE"/>
    <w:rsid w:val="008F7E9A"/>
    <w:rsid w:val="00903312"/>
    <w:rsid w:val="00981E85"/>
    <w:rsid w:val="009A0DC9"/>
    <w:rsid w:val="009D349D"/>
    <w:rsid w:val="00A12884"/>
    <w:rsid w:val="00B15E89"/>
    <w:rsid w:val="00B9781F"/>
    <w:rsid w:val="00BB0B85"/>
    <w:rsid w:val="00DA710B"/>
    <w:rsid w:val="00DE1595"/>
    <w:rsid w:val="00E86604"/>
    <w:rsid w:val="00F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43"/>
    <w:pPr>
      <w:suppressAutoHyphens/>
    </w:pPr>
    <w:rPr>
      <w:rFonts w:ascii="Calibri" w:eastAsia="Calibri" w:hAnsi="Calibri" w:cs="Times New Roman"/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stycke1">
    <w:name w:val="Liststycke1"/>
    <w:basedOn w:val="Normal"/>
    <w:rsid w:val="0065384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15E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77B"/>
    <w:rPr>
      <w:rFonts w:ascii="Calibri" w:eastAsia="Calibri" w:hAnsi="Calibri" w:cs="Times New Roman"/>
      <w:kern w:val="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77B"/>
    <w:rPr>
      <w:rFonts w:ascii="Calibri" w:eastAsia="Calibri" w:hAnsi="Calibri" w:cs="Times New Roman"/>
      <w:b/>
      <w:bCs/>
      <w:kern w:val="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7B"/>
    <w:rPr>
      <w:rFonts w:ascii="Tahoma" w:eastAsia="Calibri" w:hAnsi="Tahoma" w:cs="Tahoma"/>
      <w:kern w:val="2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E159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DA710B"/>
    <w:pPr>
      <w:spacing w:before="60" w:after="80" w:line="240" w:lineRule="auto"/>
    </w:pPr>
    <w:rPr>
      <w:rFonts w:ascii="Helvetica" w:eastAsia="Calibri" w:hAnsi="Helvetica" w:cs="Times New Roman"/>
      <w:szCs w:val="20"/>
      <w:lang w:val="en-GB" w:eastAsia="en-GB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43"/>
    <w:pPr>
      <w:suppressAutoHyphens/>
    </w:pPr>
    <w:rPr>
      <w:rFonts w:ascii="Calibri" w:eastAsia="Calibri" w:hAnsi="Calibri" w:cs="Times New Roman"/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stycke1">
    <w:name w:val="Liststycke1"/>
    <w:basedOn w:val="Normal"/>
    <w:rsid w:val="0065384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15E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77B"/>
    <w:rPr>
      <w:rFonts w:ascii="Calibri" w:eastAsia="Calibri" w:hAnsi="Calibri" w:cs="Times New Roman"/>
      <w:kern w:val="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77B"/>
    <w:rPr>
      <w:rFonts w:ascii="Calibri" w:eastAsia="Calibri" w:hAnsi="Calibri" w:cs="Times New Roman"/>
      <w:b/>
      <w:bCs/>
      <w:kern w:val="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7B"/>
    <w:rPr>
      <w:rFonts w:ascii="Tahoma" w:eastAsia="Calibri" w:hAnsi="Tahoma" w:cs="Tahoma"/>
      <w:kern w:val="2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E159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DA710B"/>
    <w:pPr>
      <w:spacing w:before="60" w:after="80" w:line="240" w:lineRule="auto"/>
    </w:pPr>
    <w:rPr>
      <w:rFonts w:ascii="Helvetica" w:eastAsia="Calibri" w:hAnsi="Helvetica" w:cs="Times New Roman"/>
      <w:szCs w:val="20"/>
      <w:lang w:val="en-GB" w:eastAsia="en-GB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B24B-45C0-4788-B217-BF8CB87F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rihan</dc:creator>
  <cp:lastModifiedBy>dominic rihan</cp:lastModifiedBy>
  <cp:revision>6</cp:revision>
  <dcterms:created xsi:type="dcterms:W3CDTF">2018-05-28T15:00:00Z</dcterms:created>
  <dcterms:modified xsi:type="dcterms:W3CDTF">2018-05-29T12:56:00Z</dcterms:modified>
</cp:coreProperties>
</file>