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31" w:rsidRDefault="0086795B" w:rsidP="00FD0831">
      <w:pPr>
        <w:pStyle w:val="Title"/>
        <w:rPr>
          <w:b/>
          <w:sz w:val="32"/>
          <w:szCs w:val="32"/>
        </w:rPr>
      </w:pPr>
      <w:r>
        <w:rPr>
          <w:b/>
          <w:sz w:val="32"/>
          <w:szCs w:val="32"/>
        </w:rPr>
        <w:t xml:space="preserve">High survival exemption for </w:t>
      </w:r>
      <w:r w:rsidR="008A10CD">
        <w:rPr>
          <w:b/>
          <w:sz w:val="32"/>
          <w:szCs w:val="32"/>
        </w:rPr>
        <w:t xml:space="preserve">plaice </w:t>
      </w:r>
      <w:r>
        <w:rPr>
          <w:b/>
          <w:sz w:val="32"/>
          <w:szCs w:val="32"/>
        </w:rPr>
        <w:t xml:space="preserve">caught by </w:t>
      </w:r>
      <w:r w:rsidR="007A3005">
        <w:rPr>
          <w:b/>
          <w:sz w:val="32"/>
          <w:szCs w:val="32"/>
        </w:rPr>
        <w:t>TR2 vessels using T</w:t>
      </w:r>
      <w:r w:rsidR="00D967B1">
        <w:rPr>
          <w:b/>
          <w:sz w:val="32"/>
          <w:szCs w:val="32"/>
        </w:rPr>
        <w:t xml:space="preserve">rammel </w:t>
      </w:r>
      <w:r w:rsidR="007A3005">
        <w:rPr>
          <w:b/>
          <w:sz w:val="32"/>
          <w:szCs w:val="32"/>
        </w:rPr>
        <w:t>N</w:t>
      </w:r>
      <w:r w:rsidR="00D967B1">
        <w:rPr>
          <w:b/>
          <w:sz w:val="32"/>
          <w:szCs w:val="32"/>
        </w:rPr>
        <w:t>ets</w:t>
      </w:r>
      <w:r w:rsidR="008A10CD">
        <w:rPr>
          <w:b/>
          <w:sz w:val="32"/>
          <w:szCs w:val="32"/>
        </w:rPr>
        <w:t xml:space="preserve"> </w:t>
      </w:r>
      <w:r w:rsidR="007818DB">
        <w:rPr>
          <w:b/>
          <w:sz w:val="32"/>
          <w:szCs w:val="32"/>
        </w:rPr>
        <w:t>in ICES area</w:t>
      </w:r>
      <w:r w:rsidR="00EC56DA">
        <w:rPr>
          <w:b/>
          <w:sz w:val="32"/>
          <w:szCs w:val="32"/>
        </w:rPr>
        <w:t>s</w:t>
      </w:r>
      <w:r w:rsidR="007818DB">
        <w:rPr>
          <w:b/>
          <w:sz w:val="32"/>
          <w:szCs w:val="32"/>
        </w:rPr>
        <w:t xml:space="preserve"> </w:t>
      </w:r>
      <w:proofErr w:type="spellStart"/>
      <w:r w:rsidR="00A12EBD">
        <w:rPr>
          <w:b/>
          <w:sz w:val="32"/>
          <w:szCs w:val="32"/>
        </w:rPr>
        <w:t>VIIf</w:t>
      </w:r>
      <w:proofErr w:type="spellEnd"/>
      <w:r w:rsidR="00A12EBD">
        <w:rPr>
          <w:b/>
          <w:sz w:val="32"/>
          <w:szCs w:val="32"/>
        </w:rPr>
        <w:t xml:space="preserve"> and </w:t>
      </w:r>
      <w:proofErr w:type="spellStart"/>
      <w:r w:rsidR="00A12EBD">
        <w:rPr>
          <w:b/>
          <w:sz w:val="32"/>
          <w:szCs w:val="32"/>
        </w:rPr>
        <w:t>VIIg</w:t>
      </w:r>
      <w:proofErr w:type="spellEnd"/>
      <w:r w:rsidR="00762167">
        <w:rPr>
          <w:b/>
          <w:sz w:val="32"/>
          <w:szCs w:val="32"/>
        </w:rPr>
        <w:br/>
      </w:r>
    </w:p>
    <w:p w:rsidR="0086795B" w:rsidRPr="00FD0831" w:rsidRDefault="0086795B" w:rsidP="00FD0831">
      <w:pPr>
        <w:pStyle w:val="Title"/>
        <w:rPr>
          <w:b/>
          <w:sz w:val="32"/>
          <w:szCs w:val="32"/>
        </w:rPr>
      </w:pPr>
      <w:r w:rsidRPr="0088024E">
        <w:rPr>
          <w:rFonts w:cs="Arial"/>
          <w:i/>
          <w:sz w:val="24"/>
          <w:szCs w:val="24"/>
        </w:rPr>
        <w:t xml:space="preserve">Request under Article 15.4(b) of </w:t>
      </w:r>
      <w:r w:rsidR="0099226D">
        <w:rPr>
          <w:rFonts w:cs="Arial"/>
          <w:i/>
          <w:sz w:val="24"/>
          <w:szCs w:val="24"/>
        </w:rPr>
        <w:t>Regulation (</w:t>
      </w:r>
      <w:r w:rsidRPr="0088024E">
        <w:rPr>
          <w:rFonts w:cs="Arial"/>
          <w:i/>
          <w:sz w:val="24"/>
          <w:szCs w:val="24"/>
        </w:rPr>
        <w:t>EU</w:t>
      </w:r>
      <w:r w:rsidR="0099226D">
        <w:rPr>
          <w:rFonts w:cs="Arial"/>
          <w:i/>
          <w:sz w:val="24"/>
          <w:szCs w:val="24"/>
        </w:rPr>
        <w:t>)</w:t>
      </w:r>
      <w:r w:rsidRPr="0088024E">
        <w:rPr>
          <w:rFonts w:cs="Arial"/>
          <w:i/>
          <w:sz w:val="24"/>
          <w:szCs w:val="24"/>
        </w:rPr>
        <w:t xml:space="preserve"> 1380/2013 to exempt from the landing obligation </w:t>
      </w:r>
      <w:r w:rsidR="008A10CD">
        <w:rPr>
          <w:rFonts w:cs="Arial"/>
          <w:i/>
          <w:sz w:val="24"/>
          <w:szCs w:val="24"/>
        </w:rPr>
        <w:t>plaice</w:t>
      </w:r>
      <w:r w:rsidRPr="0088024E">
        <w:rPr>
          <w:rFonts w:cs="Arial"/>
          <w:i/>
          <w:sz w:val="24"/>
          <w:szCs w:val="24"/>
        </w:rPr>
        <w:t xml:space="preserve"> caught </w:t>
      </w:r>
      <w:r w:rsidR="00EC56DA">
        <w:rPr>
          <w:rFonts w:cs="Arial"/>
          <w:i/>
          <w:sz w:val="24"/>
          <w:szCs w:val="24"/>
        </w:rPr>
        <w:t>by</w:t>
      </w:r>
      <w:r w:rsidRPr="0088024E">
        <w:rPr>
          <w:rFonts w:cs="Arial"/>
          <w:i/>
          <w:sz w:val="24"/>
          <w:szCs w:val="24"/>
        </w:rPr>
        <w:t xml:space="preserve"> </w:t>
      </w:r>
      <w:r w:rsidR="00D967B1">
        <w:rPr>
          <w:rFonts w:cs="Arial"/>
          <w:i/>
          <w:sz w:val="24"/>
          <w:szCs w:val="24"/>
        </w:rPr>
        <w:t>trammel</w:t>
      </w:r>
      <w:r w:rsidR="00A12EBD">
        <w:rPr>
          <w:rFonts w:cs="Arial"/>
          <w:i/>
          <w:sz w:val="24"/>
          <w:szCs w:val="24"/>
        </w:rPr>
        <w:t xml:space="preserve"> </w:t>
      </w:r>
      <w:r w:rsidR="00D967B1">
        <w:rPr>
          <w:rFonts w:cs="Arial"/>
          <w:i/>
          <w:sz w:val="24"/>
          <w:szCs w:val="24"/>
        </w:rPr>
        <w:t>nets</w:t>
      </w:r>
      <w:r w:rsidR="003A1BF8">
        <w:rPr>
          <w:rFonts w:cs="Arial"/>
          <w:i/>
          <w:sz w:val="24"/>
          <w:szCs w:val="24"/>
        </w:rPr>
        <w:t xml:space="preserve"> in ICES area</w:t>
      </w:r>
      <w:r w:rsidR="00EC56DA">
        <w:rPr>
          <w:rFonts w:cs="Arial"/>
          <w:i/>
          <w:sz w:val="24"/>
          <w:szCs w:val="24"/>
        </w:rPr>
        <w:t>s</w:t>
      </w:r>
      <w:r w:rsidR="003A1BF8">
        <w:rPr>
          <w:rFonts w:cs="Arial"/>
          <w:i/>
          <w:sz w:val="24"/>
          <w:szCs w:val="24"/>
        </w:rPr>
        <w:t xml:space="preserve"> </w:t>
      </w:r>
      <w:proofErr w:type="spellStart"/>
      <w:r w:rsidR="00A12EBD">
        <w:rPr>
          <w:rFonts w:cs="Arial"/>
          <w:i/>
          <w:sz w:val="24"/>
          <w:szCs w:val="24"/>
        </w:rPr>
        <w:t>VIIf</w:t>
      </w:r>
      <w:proofErr w:type="spellEnd"/>
      <w:r w:rsidR="00A12EBD">
        <w:rPr>
          <w:rFonts w:cs="Arial"/>
          <w:i/>
          <w:sz w:val="24"/>
          <w:szCs w:val="24"/>
        </w:rPr>
        <w:t xml:space="preserve"> and </w:t>
      </w:r>
      <w:proofErr w:type="spellStart"/>
      <w:r w:rsidR="00A12EBD">
        <w:rPr>
          <w:rFonts w:cs="Arial"/>
          <w:i/>
          <w:sz w:val="24"/>
          <w:szCs w:val="24"/>
        </w:rPr>
        <w:t>VIIg</w:t>
      </w:r>
      <w:proofErr w:type="spellEnd"/>
      <w:r w:rsidRPr="0088024E">
        <w:rPr>
          <w:rFonts w:cs="Arial"/>
          <w:i/>
          <w:sz w:val="24"/>
          <w:szCs w:val="24"/>
        </w:rPr>
        <w:t>.</w:t>
      </w:r>
    </w:p>
    <w:p w:rsidR="00EE0915" w:rsidRPr="0088024E" w:rsidRDefault="00EE0915" w:rsidP="00AB7AC2">
      <w:pPr>
        <w:pStyle w:val="Heading1"/>
      </w:pPr>
      <w:r w:rsidRPr="0088024E">
        <w:t>Summary</w:t>
      </w:r>
    </w:p>
    <w:p w:rsidR="001163B8" w:rsidRPr="0088024E" w:rsidRDefault="001163B8" w:rsidP="00EE0915">
      <w:pPr>
        <w:rPr>
          <w:rFonts w:cs="Arial"/>
        </w:rPr>
      </w:pPr>
      <w:r w:rsidRPr="0088024E">
        <w:rPr>
          <w:rFonts w:cs="Arial"/>
        </w:rPr>
        <w:t xml:space="preserve">Article 15.4(b) of </w:t>
      </w:r>
      <w:r w:rsidR="00DC4542">
        <w:rPr>
          <w:rFonts w:cs="Arial"/>
        </w:rPr>
        <w:t>Regulation</w:t>
      </w:r>
      <w:r w:rsidR="00DC4542" w:rsidRPr="0088024E">
        <w:rPr>
          <w:rFonts w:cs="Arial"/>
        </w:rPr>
        <w:t xml:space="preserve"> </w:t>
      </w:r>
      <w:r w:rsidR="00DC4542">
        <w:rPr>
          <w:rFonts w:cs="Arial"/>
        </w:rPr>
        <w:t>(</w:t>
      </w:r>
      <w:r w:rsidRPr="0088024E">
        <w:rPr>
          <w:rFonts w:cs="Arial"/>
        </w:rPr>
        <w:t>EU</w:t>
      </w:r>
      <w:r w:rsidR="00DC4542">
        <w:rPr>
          <w:rFonts w:cs="Arial"/>
        </w:rPr>
        <w:t>)</w:t>
      </w:r>
      <w:r w:rsidRPr="0088024E">
        <w:rPr>
          <w:rFonts w:cs="Arial"/>
        </w:rPr>
        <w:t xml:space="preserve"> 1380/2013 </w:t>
      </w:r>
      <w:r w:rsidR="00DC4542">
        <w:rPr>
          <w:rFonts w:cs="Arial"/>
        </w:rPr>
        <w:t xml:space="preserve">on the Common Fisheries Policy </w:t>
      </w:r>
      <w:r w:rsidRPr="0088024E">
        <w:rPr>
          <w:rFonts w:cs="Arial"/>
        </w:rPr>
        <w:t>states that the landing obligation shall not apply to:</w:t>
      </w:r>
    </w:p>
    <w:p w:rsidR="001163B8" w:rsidRPr="0088024E" w:rsidRDefault="001163B8" w:rsidP="00AB7AC2">
      <w:pPr>
        <w:ind w:left="720"/>
        <w:rPr>
          <w:rFonts w:cs="Arial"/>
        </w:rPr>
      </w:pPr>
      <w:r w:rsidRPr="0088024E">
        <w:rPr>
          <w:rFonts w:cs="Arial"/>
        </w:rPr>
        <w:t>“</w:t>
      </w:r>
      <w:proofErr w:type="gramStart"/>
      <w:r w:rsidR="00DC4542">
        <w:rPr>
          <w:rFonts w:cs="Arial"/>
        </w:rPr>
        <w:t>s</w:t>
      </w:r>
      <w:r w:rsidR="00DC4542" w:rsidRPr="0088024E">
        <w:rPr>
          <w:rFonts w:cs="Arial"/>
        </w:rPr>
        <w:t>pecies</w:t>
      </w:r>
      <w:proofErr w:type="gramEnd"/>
      <w:r w:rsidR="00DC4542" w:rsidRPr="0088024E">
        <w:rPr>
          <w:rFonts w:cs="Arial"/>
        </w:rPr>
        <w:t xml:space="preserve"> </w:t>
      </w:r>
      <w:r w:rsidRPr="0088024E">
        <w:rPr>
          <w:rFonts w:cs="Arial"/>
        </w:rPr>
        <w:t>for which scientific evidence demonstrates high survival rates, taking into account the characteristics of the gear, of the fishing practises and of the ecosystem;”</w:t>
      </w:r>
    </w:p>
    <w:p w:rsidR="001B7DAC" w:rsidRDefault="001B7DAC" w:rsidP="00DC4542">
      <w:pPr>
        <w:rPr>
          <w:rFonts w:cs="Arial"/>
        </w:rPr>
      </w:pPr>
      <w:r>
        <w:rPr>
          <w:rFonts w:cs="Arial"/>
        </w:rPr>
        <w:t xml:space="preserve">In response to industry’s view that Plaice has a high rate of survival, </w:t>
      </w:r>
      <w:r w:rsidR="009A1BCA">
        <w:rPr>
          <w:rFonts w:cs="Arial"/>
        </w:rPr>
        <w:t>the Centre for Environment, Fisheries and Aquaculture Science (</w:t>
      </w:r>
      <w:r>
        <w:rPr>
          <w:rFonts w:cs="Arial"/>
        </w:rPr>
        <w:t>Cefas</w:t>
      </w:r>
      <w:r w:rsidR="009A1BCA">
        <w:rPr>
          <w:rFonts w:cs="Arial"/>
        </w:rPr>
        <w:t>)</w:t>
      </w:r>
      <w:r>
        <w:rPr>
          <w:rFonts w:cs="Arial"/>
        </w:rPr>
        <w:t xml:space="preserve"> was commissioned to carry out a number </w:t>
      </w:r>
      <w:r w:rsidR="009A1BCA">
        <w:rPr>
          <w:rFonts w:cs="Arial"/>
        </w:rPr>
        <w:t xml:space="preserve">studies on high survivability of Plaice. </w:t>
      </w:r>
      <w:r w:rsidR="0012676E">
        <w:rPr>
          <w:rFonts w:cs="Arial"/>
        </w:rPr>
        <w:t>The sea trials were carried out in Swansea Bay off the coast of South Wales on a vessel representative of normal fishing activity targeting Dover sole using trammel nets.</w:t>
      </w:r>
    </w:p>
    <w:p w:rsidR="001163B8" w:rsidRPr="00DC4542" w:rsidRDefault="00FD0831" w:rsidP="00DC4542">
      <w:pPr>
        <w:rPr>
          <w:rFonts w:cs="Arial"/>
        </w:rPr>
      </w:pPr>
      <w:r>
        <w:rPr>
          <w:rFonts w:cs="Arial"/>
        </w:rPr>
        <w:t xml:space="preserve">The </w:t>
      </w:r>
      <w:r w:rsidR="00035654">
        <w:rPr>
          <w:rFonts w:cs="Arial"/>
        </w:rPr>
        <w:t>North Western Waters</w:t>
      </w:r>
      <w:r w:rsidR="00DC4542">
        <w:rPr>
          <w:rFonts w:cs="Arial"/>
        </w:rPr>
        <w:t xml:space="preserve"> regional group</w:t>
      </w:r>
      <w:r w:rsidR="001163B8" w:rsidRPr="0088024E">
        <w:rPr>
          <w:rFonts w:cs="Arial"/>
        </w:rPr>
        <w:t xml:space="preserve"> </w:t>
      </w:r>
      <w:r w:rsidR="00DC4542">
        <w:rPr>
          <w:rFonts w:cs="Arial"/>
        </w:rPr>
        <w:t xml:space="preserve">notes that </w:t>
      </w:r>
      <w:r w:rsidR="00CA6905">
        <w:rPr>
          <w:rFonts w:cs="Arial"/>
        </w:rPr>
        <w:t xml:space="preserve">scientific evidence </w:t>
      </w:r>
      <w:r w:rsidR="00DC4542">
        <w:rPr>
          <w:rFonts w:cs="Arial"/>
        </w:rPr>
        <w:t>demonstrate</w:t>
      </w:r>
      <w:r w:rsidR="00CA6905">
        <w:rPr>
          <w:rFonts w:cs="Arial"/>
        </w:rPr>
        <w:t>s</w:t>
      </w:r>
      <w:r w:rsidR="00DC4542">
        <w:rPr>
          <w:rFonts w:cs="Arial"/>
        </w:rPr>
        <w:t xml:space="preserve"> a </w:t>
      </w:r>
      <w:r w:rsidR="00FF4C61">
        <w:rPr>
          <w:rFonts w:cs="Arial"/>
        </w:rPr>
        <w:t xml:space="preserve">survivability rate of </w:t>
      </w:r>
      <w:r w:rsidR="001B6026">
        <w:rPr>
          <w:rFonts w:cs="Arial"/>
        </w:rPr>
        <w:t>49</w:t>
      </w:r>
      <w:r w:rsidR="00DC4542">
        <w:rPr>
          <w:rFonts w:cs="Arial"/>
        </w:rPr>
        <w:t>%</w:t>
      </w:r>
      <w:r w:rsidR="00BE0619">
        <w:rPr>
          <w:rFonts w:cs="Arial"/>
        </w:rPr>
        <w:t xml:space="preserve"> </w:t>
      </w:r>
      <w:r w:rsidR="00DC4542">
        <w:rPr>
          <w:rFonts w:cs="Arial"/>
        </w:rPr>
        <w:t xml:space="preserve">for </w:t>
      </w:r>
      <w:r w:rsidR="001B6026">
        <w:rPr>
          <w:rFonts w:cs="Arial"/>
        </w:rPr>
        <w:t>plaice</w:t>
      </w:r>
      <w:r w:rsidR="00DC4542">
        <w:rPr>
          <w:rFonts w:cs="Arial"/>
        </w:rPr>
        <w:t xml:space="preserve"> (</w:t>
      </w:r>
      <w:proofErr w:type="spellStart"/>
      <w:r w:rsidR="001B6026" w:rsidRPr="001B6026">
        <w:rPr>
          <w:rFonts w:cs="Arial"/>
          <w:szCs w:val="16"/>
          <w:lang w:eastAsia="en-GB"/>
        </w:rPr>
        <w:t>Pleuronectes</w:t>
      </w:r>
      <w:proofErr w:type="spellEnd"/>
      <w:r w:rsidR="001B6026" w:rsidRPr="001B6026">
        <w:rPr>
          <w:rFonts w:cs="Arial"/>
          <w:szCs w:val="16"/>
          <w:lang w:eastAsia="en-GB"/>
        </w:rPr>
        <w:t xml:space="preserve"> </w:t>
      </w:r>
      <w:proofErr w:type="spellStart"/>
      <w:r w:rsidR="001B6026" w:rsidRPr="001B6026">
        <w:rPr>
          <w:rFonts w:cs="Arial"/>
          <w:szCs w:val="16"/>
          <w:lang w:eastAsia="en-GB"/>
        </w:rPr>
        <w:t>platessa</w:t>
      </w:r>
      <w:proofErr w:type="spellEnd"/>
      <w:r w:rsidR="001B6026">
        <w:rPr>
          <w:rFonts w:cs="Arial"/>
        </w:rPr>
        <w:t xml:space="preserve">) </w:t>
      </w:r>
      <w:r w:rsidR="00DC4822">
        <w:rPr>
          <w:rFonts w:cs="Arial"/>
        </w:rPr>
        <w:t xml:space="preserve">caught </w:t>
      </w:r>
      <w:r w:rsidR="001B6026">
        <w:rPr>
          <w:rFonts w:cs="Arial"/>
        </w:rPr>
        <w:t xml:space="preserve">by </w:t>
      </w:r>
      <w:r w:rsidR="00DC4822">
        <w:rPr>
          <w:rFonts w:cs="Arial"/>
        </w:rPr>
        <w:t xml:space="preserve">TR2 vessels using </w:t>
      </w:r>
      <w:r w:rsidR="001B6026">
        <w:rPr>
          <w:rFonts w:cs="Arial"/>
        </w:rPr>
        <w:t xml:space="preserve">trammel nets in area </w:t>
      </w:r>
      <w:proofErr w:type="spellStart"/>
      <w:r w:rsidR="001B6026">
        <w:rPr>
          <w:rFonts w:cs="Arial"/>
        </w:rPr>
        <w:t>VIIf</w:t>
      </w:r>
      <w:proofErr w:type="spellEnd"/>
      <w:r w:rsidR="001B6026">
        <w:rPr>
          <w:rFonts w:cs="Arial"/>
        </w:rPr>
        <w:t xml:space="preserve"> </w:t>
      </w:r>
      <w:r w:rsidR="00DC4542">
        <w:rPr>
          <w:rFonts w:cs="Arial"/>
        </w:rPr>
        <w:t xml:space="preserve">and recommends that catches of </w:t>
      </w:r>
      <w:r w:rsidR="001B6026">
        <w:rPr>
          <w:rFonts w:cs="Arial"/>
        </w:rPr>
        <w:t xml:space="preserve">Plaice caught in areas </w:t>
      </w:r>
      <w:proofErr w:type="spellStart"/>
      <w:r w:rsidR="001B6026">
        <w:rPr>
          <w:rFonts w:cs="Arial"/>
        </w:rPr>
        <w:t>VIIf</w:t>
      </w:r>
      <w:proofErr w:type="spellEnd"/>
      <w:r w:rsidR="001B6026">
        <w:rPr>
          <w:rFonts w:cs="Arial"/>
        </w:rPr>
        <w:t xml:space="preserve"> and g </w:t>
      </w:r>
      <w:r w:rsidR="00DC4542">
        <w:rPr>
          <w:rFonts w:cs="Arial"/>
        </w:rPr>
        <w:t xml:space="preserve">should be exempt from the landing obligation </w:t>
      </w:r>
      <w:r w:rsidR="00C626F8">
        <w:rPr>
          <w:rFonts w:cs="Arial"/>
        </w:rPr>
        <w:t xml:space="preserve">on grounds of high survival rates, </w:t>
      </w:r>
      <w:r w:rsidR="00DC4542">
        <w:rPr>
          <w:rFonts w:cs="Arial"/>
        </w:rPr>
        <w:t xml:space="preserve">as </w:t>
      </w:r>
      <w:r w:rsidR="00C626F8">
        <w:rPr>
          <w:rFonts w:cs="Arial"/>
        </w:rPr>
        <w:t>provided for by Article 15.4(b)</w:t>
      </w:r>
      <w:r w:rsidR="00DC4542">
        <w:rPr>
          <w:rFonts w:cs="Arial"/>
        </w:rPr>
        <w:t xml:space="preserve"> Regulation (EU) 1380/2013.</w:t>
      </w:r>
      <w:r w:rsidR="009537FB" w:rsidRPr="009537FB">
        <w:rPr>
          <w:rFonts w:cs="Arial"/>
        </w:rPr>
        <w:t xml:space="preserve"> </w:t>
      </w:r>
      <w:r w:rsidR="000170B9">
        <w:rPr>
          <w:rFonts w:cs="Arial"/>
        </w:rPr>
        <w:t>This</w:t>
      </w:r>
      <w:r w:rsidR="002838C6">
        <w:rPr>
          <w:rFonts w:cs="Arial"/>
        </w:rPr>
        <w:t xml:space="preserve"> will </w:t>
      </w:r>
      <w:r w:rsidR="000D04EE">
        <w:rPr>
          <w:rFonts w:cs="Arial"/>
        </w:rPr>
        <w:t xml:space="preserve">reduce the risk of </w:t>
      </w:r>
      <w:r w:rsidR="001B6026">
        <w:rPr>
          <w:rFonts w:cs="Arial"/>
        </w:rPr>
        <w:t xml:space="preserve">vessels </w:t>
      </w:r>
      <w:r w:rsidR="000D04EE">
        <w:rPr>
          <w:rFonts w:cs="Arial"/>
        </w:rPr>
        <w:t xml:space="preserve">being prevented from continuing to fish at sea due to their low Plaice quota. </w:t>
      </w:r>
      <w:r w:rsidR="001B6026">
        <w:rPr>
          <w:rFonts w:cs="Arial"/>
        </w:rPr>
        <w:t xml:space="preserve"> </w:t>
      </w:r>
    </w:p>
    <w:p w:rsidR="003E30A2" w:rsidRPr="0088024E" w:rsidRDefault="0012676E" w:rsidP="00CC2E9E">
      <w:pPr>
        <w:pStyle w:val="Heading1"/>
      </w:pPr>
      <w:r>
        <w:t>K</w:t>
      </w:r>
      <w:r w:rsidR="003E30A2" w:rsidRPr="0088024E">
        <w:t xml:space="preserve">ey </w:t>
      </w:r>
      <w:r w:rsidR="003E30A2" w:rsidRPr="00CC2E9E">
        <w:t>Information</w:t>
      </w:r>
    </w:p>
    <w:p w:rsidR="005D670C" w:rsidRPr="00D17E2E" w:rsidRDefault="00D17E2E" w:rsidP="00E31041">
      <w:pPr>
        <w:ind w:left="2977" w:hanging="2977"/>
        <w:rPr>
          <w:rFonts w:cs="Arial"/>
        </w:rPr>
      </w:pPr>
      <w:r>
        <w:rPr>
          <w:rFonts w:cs="Arial"/>
        </w:rPr>
        <w:t>Exemption target:</w:t>
      </w:r>
      <w:r>
        <w:rPr>
          <w:rFonts w:cs="Arial"/>
        </w:rPr>
        <w:tab/>
      </w:r>
      <w:r w:rsidR="00E31041">
        <w:rPr>
          <w:rFonts w:cs="Arial"/>
        </w:rPr>
        <w:t>Plaice (</w:t>
      </w:r>
      <w:proofErr w:type="spellStart"/>
      <w:r w:rsidR="00E31041">
        <w:rPr>
          <w:rFonts w:cs="Arial"/>
        </w:rPr>
        <w:t>Pleuronectes</w:t>
      </w:r>
      <w:proofErr w:type="spellEnd"/>
      <w:r w:rsidR="00E31041">
        <w:rPr>
          <w:rFonts w:cs="Arial"/>
        </w:rPr>
        <w:t xml:space="preserve"> </w:t>
      </w:r>
      <w:proofErr w:type="spellStart"/>
      <w:r w:rsidR="00E31041">
        <w:rPr>
          <w:rFonts w:cs="Arial"/>
        </w:rPr>
        <w:t>platessa</w:t>
      </w:r>
      <w:proofErr w:type="spellEnd"/>
      <w:r w:rsidR="00E31041">
        <w:rPr>
          <w:rFonts w:cs="Arial"/>
        </w:rPr>
        <w:t>)</w:t>
      </w:r>
    </w:p>
    <w:p w:rsidR="00AC1522" w:rsidRDefault="00AC1522" w:rsidP="003E30A2">
      <w:pPr>
        <w:ind w:left="2977" w:hanging="2977"/>
        <w:rPr>
          <w:rFonts w:cs="Arial"/>
        </w:rPr>
      </w:pPr>
      <w:r>
        <w:rPr>
          <w:rFonts w:cs="Arial"/>
        </w:rPr>
        <w:t>Exempti</w:t>
      </w:r>
      <w:r w:rsidR="006F6B3F">
        <w:rPr>
          <w:rFonts w:cs="Arial"/>
        </w:rPr>
        <w:t>on grounds:</w:t>
      </w:r>
      <w:r w:rsidR="006F6B3F">
        <w:rPr>
          <w:rFonts w:cs="Arial"/>
        </w:rPr>
        <w:tab/>
        <w:t>High survivability.</w:t>
      </w:r>
    </w:p>
    <w:p w:rsidR="002D3375" w:rsidRDefault="006F6B3F" w:rsidP="006D5E5E">
      <w:pPr>
        <w:ind w:left="2977" w:hanging="2977"/>
        <w:rPr>
          <w:rFonts w:cs="Arial"/>
        </w:rPr>
      </w:pPr>
      <w:r w:rsidRPr="0088024E">
        <w:rPr>
          <w:rFonts w:cs="Arial"/>
        </w:rPr>
        <w:t>Survivability</w:t>
      </w:r>
      <w:r w:rsidR="00A873A8">
        <w:rPr>
          <w:rFonts w:cs="Arial"/>
        </w:rPr>
        <w:t xml:space="preserve"> rates</w:t>
      </w:r>
      <w:r w:rsidRPr="0088024E">
        <w:rPr>
          <w:rFonts w:cs="Arial"/>
        </w:rPr>
        <w:t>:</w:t>
      </w:r>
      <w:r w:rsidRPr="0088024E">
        <w:rPr>
          <w:rFonts w:cs="Arial"/>
        </w:rPr>
        <w:tab/>
      </w:r>
      <w:r w:rsidR="006D5E5E">
        <w:rPr>
          <w:rFonts w:cs="Arial"/>
        </w:rPr>
        <w:t xml:space="preserve"> </w:t>
      </w:r>
      <w:r w:rsidR="00E31041">
        <w:rPr>
          <w:rFonts w:cs="Arial"/>
        </w:rPr>
        <w:t>49%</w:t>
      </w:r>
    </w:p>
    <w:p w:rsidR="00DF3225" w:rsidRDefault="003E30A2" w:rsidP="003E30A2">
      <w:pPr>
        <w:ind w:left="2977" w:hanging="2977"/>
        <w:rPr>
          <w:rFonts w:cs="Arial"/>
        </w:rPr>
      </w:pPr>
      <w:r w:rsidRPr="0088024E">
        <w:rPr>
          <w:rFonts w:cs="Arial"/>
        </w:rPr>
        <w:t>Vessels affected:</w:t>
      </w:r>
      <w:r w:rsidRPr="0088024E">
        <w:rPr>
          <w:rFonts w:cs="Arial"/>
        </w:rPr>
        <w:tab/>
      </w:r>
      <w:r w:rsidR="007A3005">
        <w:rPr>
          <w:rFonts w:cs="Arial"/>
        </w:rPr>
        <w:t>7</w:t>
      </w:r>
      <w:r w:rsidR="00DF7D7E">
        <w:rPr>
          <w:rFonts w:cs="Arial"/>
        </w:rPr>
        <w:t xml:space="preserve"> (UK)</w:t>
      </w:r>
    </w:p>
    <w:p w:rsidR="00724EB4" w:rsidRDefault="003E30A2" w:rsidP="006E1FCD">
      <w:pPr>
        <w:ind w:left="2977" w:hanging="2977"/>
        <w:rPr>
          <w:rFonts w:cs="Arial"/>
        </w:rPr>
      </w:pPr>
      <w:r w:rsidRPr="0088024E">
        <w:rPr>
          <w:rFonts w:cs="Arial"/>
        </w:rPr>
        <w:t xml:space="preserve">Discard </w:t>
      </w:r>
      <w:r w:rsidR="00C87984">
        <w:rPr>
          <w:rFonts w:cs="Arial"/>
        </w:rPr>
        <w:t>rate</w:t>
      </w:r>
      <w:r w:rsidRPr="0088024E">
        <w:rPr>
          <w:rFonts w:cs="Arial"/>
        </w:rPr>
        <w:t>:</w:t>
      </w:r>
      <w:r w:rsidRPr="0088024E">
        <w:rPr>
          <w:rFonts w:cs="Arial"/>
        </w:rPr>
        <w:tab/>
      </w:r>
      <w:r w:rsidR="0012676E">
        <w:rPr>
          <w:rFonts w:cs="Arial"/>
        </w:rPr>
        <w:t xml:space="preserve">73% </w:t>
      </w:r>
    </w:p>
    <w:p w:rsidR="0012676E" w:rsidRDefault="00DF7D7E" w:rsidP="006E1FCD">
      <w:pPr>
        <w:ind w:left="2977" w:hanging="2977"/>
        <w:rPr>
          <w:rFonts w:cs="Arial"/>
        </w:rPr>
      </w:pPr>
      <w:r>
        <w:rPr>
          <w:rFonts w:cs="Arial"/>
        </w:rPr>
        <w:t>2018 UK</w:t>
      </w:r>
      <w:r w:rsidR="0012676E">
        <w:rPr>
          <w:rFonts w:cs="Arial"/>
        </w:rPr>
        <w:t xml:space="preserve"> TAC:</w:t>
      </w:r>
      <w:r w:rsidR="0012676E">
        <w:rPr>
          <w:rFonts w:cs="Arial"/>
        </w:rPr>
        <w:tab/>
      </w:r>
      <w:r>
        <w:rPr>
          <w:rFonts w:cs="Arial"/>
        </w:rPr>
        <w:t>77</w:t>
      </w:r>
    </w:p>
    <w:p w:rsidR="001C222F" w:rsidRDefault="001C222F" w:rsidP="006E1FCD">
      <w:pPr>
        <w:ind w:left="2977" w:hanging="2977"/>
        <w:rPr>
          <w:rFonts w:cs="Arial"/>
        </w:rPr>
      </w:pPr>
    </w:p>
    <w:p w:rsidR="001C222F" w:rsidRDefault="001C222F" w:rsidP="001C222F">
      <w:pPr>
        <w:ind w:left="2977" w:hanging="2977"/>
        <w:rPr>
          <w:rFonts w:cs="Arial"/>
          <w:b/>
        </w:rPr>
      </w:pPr>
      <w:r>
        <w:rPr>
          <w:rFonts w:cs="Arial"/>
          <w:b/>
        </w:rPr>
        <w:t>Fishery</w:t>
      </w:r>
    </w:p>
    <w:p w:rsidR="00F42D83" w:rsidRDefault="001C222F" w:rsidP="001C222F">
      <w:pPr>
        <w:spacing w:after="0"/>
        <w:rPr>
          <w:rFonts w:cs="Arial"/>
        </w:rPr>
      </w:pPr>
      <w:r>
        <w:rPr>
          <w:rFonts w:cs="Arial"/>
        </w:rPr>
        <w:lastRenderedPageBreak/>
        <w:t xml:space="preserve">In 2017, 7 vessels registered in the UK caught plaice with Trammel Nets in area </w:t>
      </w:r>
      <w:proofErr w:type="spellStart"/>
      <w:r>
        <w:rPr>
          <w:rFonts w:cs="Arial"/>
        </w:rPr>
        <w:t>VIIf</w:t>
      </w:r>
      <w:proofErr w:type="spellEnd"/>
      <w:r>
        <w:rPr>
          <w:rFonts w:cs="Arial"/>
        </w:rPr>
        <w:t xml:space="preserve"> and </w:t>
      </w:r>
      <w:proofErr w:type="spellStart"/>
      <w:r>
        <w:rPr>
          <w:rFonts w:cs="Arial"/>
        </w:rPr>
        <w:t>VIIg</w:t>
      </w:r>
      <w:proofErr w:type="spellEnd"/>
      <w:r>
        <w:rPr>
          <w:rFonts w:cs="Arial"/>
        </w:rPr>
        <w:t xml:space="preserve">, </w:t>
      </w:r>
      <w:r w:rsidR="00A27153">
        <w:rPr>
          <w:rFonts w:cs="Arial"/>
        </w:rPr>
        <w:t xml:space="preserve">landing 0.18 tonnes. </w:t>
      </w:r>
      <w:r w:rsidR="00F42D83">
        <w:rPr>
          <w:rFonts w:cs="Arial"/>
        </w:rPr>
        <w:t>The</w:t>
      </w:r>
      <w:r w:rsidR="006F5EBD">
        <w:rPr>
          <w:rFonts w:cs="Arial"/>
        </w:rPr>
        <w:t>se</w:t>
      </w:r>
      <w:r w:rsidR="00F42D83">
        <w:rPr>
          <w:rFonts w:cs="Arial"/>
        </w:rPr>
        <w:t xml:space="preserve"> vessels </w:t>
      </w:r>
      <w:r w:rsidR="006F5EBD">
        <w:rPr>
          <w:rFonts w:cs="Arial"/>
        </w:rPr>
        <w:t xml:space="preserve">catch and land multiple quota and non-quota stocks across area VI. The quota stocks that were landed by these 7 vessels in 2017 included, Anglers, Cod, Haddock, Skates 7 Rays, </w:t>
      </w:r>
      <w:proofErr w:type="spellStart"/>
      <w:r w:rsidR="006F5EBD">
        <w:rPr>
          <w:rFonts w:cs="Arial"/>
        </w:rPr>
        <w:t>Saithe</w:t>
      </w:r>
      <w:proofErr w:type="spellEnd"/>
      <w:r w:rsidR="006F5EBD">
        <w:rPr>
          <w:rFonts w:cs="Arial"/>
        </w:rPr>
        <w:t>, Pollack</w:t>
      </w:r>
      <w:r w:rsidR="00A13135">
        <w:rPr>
          <w:rFonts w:cs="Arial"/>
        </w:rPr>
        <w:t>, Hake</w:t>
      </w:r>
      <w:r w:rsidR="006F5EBD">
        <w:rPr>
          <w:rFonts w:cs="Arial"/>
        </w:rPr>
        <w:t xml:space="preserve"> and Sole. The vessels landed a total of 41.6 tonnes of quota </w:t>
      </w:r>
      <w:r w:rsidR="00DF7D7E">
        <w:rPr>
          <w:rFonts w:cs="Arial"/>
        </w:rPr>
        <w:t xml:space="preserve">stocks </w:t>
      </w:r>
      <w:r w:rsidR="006F5EBD">
        <w:rPr>
          <w:rFonts w:cs="Arial"/>
        </w:rPr>
        <w:t>in 2017.</w:t>
      </w:r>
    </w:p>
    <w:p w:rsidR="009A261C" w:rsidRDefault="009A261C" w:rsidP="001C222F">
      <w:pPr>
        <w:spacing w:after="0"/>
        <w:rPr>
          <w:rFonts w:cs="Arial"/>
        </w:rPr>
      </w:pPr>
      <w:r>
        <w:rPr>
          <w:rFonts w:cs="Arial"/>
        </w:rPr>
        <w:t xml:space="preserve">Figure 1 below illustrates the mean number of fishing trips and mean number of trips sampled for trammel and gill netters between 20134 and 2016. The illustration shows that the fishing effort from UK trammel nets in area </w:t>
      </w:r>
      <w:proofErr w:type="spellStart"/>
      <w:r>
        <w:rPr>
          <w:rFonts w:cs="Arial"/>
        </w:rPr>
        <w:t>VIIf</w:t>
      </w:r>
      <w:proofErr w:type="spellEnd"/>
      <w:r>
        <w:rPr>
          <w:rFonts w:cs="Arial"/>
        </w:rPr>
        <w:t xml:space="preserve"> and </w:t>
      </w:r>
      <w:proofErr w:type="spellStart"/>
      <w:r>
        <w:rPr>
          <w:rFonts w:cs="Arial"/>
        </w:rPr>
        <w:t>VIIg</w:t>
      </w:r>
      <w:proofErr w:type="spellEnd"/>
      <w:r>
        <w:rPr>
          <w:rFonts w:cs="Arial"/>
        </w:rPr>
        <w:t xml:space="preserve"> is low. </w:t>
      </w:r>
    </w:p>
    <w:p w:rsidR="009A261C" w:rsidRDefault="009A261C" w:rsidP="001C222F">
      <w:pPr>
        <w:spacing w:after="0"/>
        <w:rPr>
          <w:rFonts w:cs="Arial"/>
        </w:rPr>
      </w:pPr>
    </w:p>
    <w:p w:rsidR="009A261C" w:rsidRDefault="009A261C" w:rsidP="001C222F">
      <w:pPr>
        <w:spacing w:after="0"/>
        <w:rPr>
          <w:rFonts w:cs="Arial"/>
        </w:rPr>
      </w:pPr>
      <w:r>
        <w:rPr>
          <w:noProof/>
          <w:lang w:eastAsia="en-GB"/>
        </w:rPr>
        <w:drawing>
          <wp:inline distT="0" distB="0" distL="0" distR="0">
            <wp:extent cx="5734050" cy="2895600"/>
            <wp:effectExtent l="0" t="0" r="0" b="0"/>
            <wp:docPr id="1" name="Picture 1" descr="cid:image001.jpg@01D3E0A3.4486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3E0A3.448675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4050" cy="2895600"/>
                    </a:xfrm>
                    <a:prstGeom prst="rect">
                      <a:avLst/>
                    </a:prstGeom>
                    <a:noFill/>
                    <a:ln>
                      <a:noFill/>
                    </a:ln>
                  </pic:spPr>
                </pic:pic>
              </a:graphicData>
            </a:graphic>
          </wp:inline>
        </w:drawing>
      </w:r>
    </w:p>
    <w:p w:rsidR="009A261C" w:rsidRPr="009A261C" w:rsidRDefault="009A261C" w:rsidP="009A261C">
      <w:pPr>
        <w:pStyle w:val="Caption"/>
        <w:rPr>
          <w:color w:val="auto"/>
          <w:sz w:val="20"/>
          <w:szCs w:val="24"/>
          <w:lang w:eastAsia="en-GB"/>
        </w:rPr>
      </w:pPr>
      <w:bookmarkStart w:id="0" w:name="_Ref502929896"/>
      <w:r w:rsidRPr="009A261C">
        <w:rPr>
          <w:color w:val="auto"/>
          <w:sz w:val="20"/>
          <w:szCs w:val="24"/>
        </w:rPr>
        <w:t xml:space="preserve">Figure 1. </w:t>
      </w:r>
      <w:bookmarkEnd w:id="0"/>
      <w:r w:rsidRPr="009A261C">
        <w:rPr>
          <w:color w:val="auto"/>
          <w:sz w:val="20"/>
          <w:szCs w:val="24"/>
        </w:rPr>
        <w:t xml:space="preserve">Mean number of fishing trips (coloured rectangles) and mean number of trips sampled (back circles) for the netters </w:t>
      </w:r>
      <w:proofErr w:type="spellStart"/>
      <w:r w:rsidRPr="009A261C">
        <w:rPr>
          <w:color w:val="auto"/>
          <w:sz w:val="20"/>
          <w:szCs w:val="24"/>
        </w:rPr>
        <w:t>métiers</w:t>
      </w:r>
      <w:proofErr w:type="spellEnd"/>
      <w:r w:rsidRPr="009A261C">
        <w:rPr>
          <w:color w:val="auto"/>
          <w:sz w:val="20"/>
          <w:szCs w:val="24"/>
        </w:rPr>
        <w:t>, between the years 2013 and 2016, for trammel nets (GTR) and gill nets (GNS).</w:t>
      </w:r>
    </w:p>
    <w:p w:rsidR="009A261C" w:rsidRDefault="009A261C" w:rsidP="001C222F">
      <w:pPr>
        <w:spacing w:after="0"/>
        <w:rPr>
          <w:rFonts w:cs="Arial"/>
        </w:rPr>
      </w:pPr>
    </w:p>
    <w:p w:rsidR="001C222F" w:rsidRPr="00AB4FD4" w:rsidRDefault="001C222F" w:rsidP="001C222F">
      <w:pPr>
        <w:spacing w:after="0"/>
        <w:rPr>
          <w:rFonts w:cs="Arial"/>
        </w:rPr>
      </w:pPr>
      <w:r>
        <w:rPr>
          <w:rFonts w:cs="Arial"/>
        </w:rPr>
        <w:t xml:space="preserve">The discard rate for </w:t>
      </w:r>
      <w:r w:rsidR="00F42D83">
        <w:rPr>
          <w:rFonts w:cs="Arial"/>
        </w:rPr>
        <w:t>plaice</w:t>
      </w:r>
      <w:r>
        <w:rPr>
          <w:rFonts w:cs="Arial"/>
        </w:rPr>
        <w:t xml:space="preserve"> in area </w:t>
      </w:r>
      <w:proofErr w:type="spellStart"/>
      <w:r>
        <w:rPr>
          <w:rFonts w:cs="Arial"/>
        </w:rPr>
        <w:t>VIIf</w:t>
      </w:r>
      <w:proofErr w:type="spellEnd"/>
      <w:r>
        <w:rPr>
          <w:rFonts w:cs="Arial"/>
        </w:rPr>
        <w:t xml:space="preserve"> and </w:t>
      </w:r>
      <w:proofErr w:type="spellStart"/>
      <w:r>
        <w:rPr>
          <w:rFonts w:cs="Arial"/>
        </w:rPr>
        <w:t>VIIg</w:t>
      </w:r>
      <w:proofErr w:type="spellEnd"/>
      <w:r>
        <w:rPr>
          <w:rFonts w:cs="Arial"/>
        </w:rPr>
        <w:t xml:space="preserve"> is 73%. An estimated 22.86 tonnes will be discarded in 2018. The survival rate in the study is </w:t>
      </w:r>
      <w:r w:rsidR="009A261C">
        <w:rPr>
          <w:rFonts w:cs="Arial"/>
        </w:rPr>
        <w:t xml:space="preserve">a minimum of </w:t>
      </w:r>
      <w:r>
        <w:rPr>
          <w:rFonts w:cs="Arial"/>
        </w:rPr>
        <w:t xml:space="preserve">49%, </w:t>
      </w:r>
      <w:r w:rsidR="009A261C">
        <w:rPr>
          <w:rFonts w:cs="Arial"/>
        </w:rPr>
        <w:t>which would indicate that at least</w:t>
      </w:r>
      <w:r>
        <w:rPr>
          <w:rFonts w:cs="Arial"/>
        </w:rPr>
        <w:t xml:space="preserve"> 11.2 tonnes of the discarded Plaice will survive. </w:t>
      </w:r>
      <w:r w:rsidR="009A261C">
        <w:rPr>
          <w:rFonts w:cs="Arial"/>
        </w:rPr>
        <w:t>The survival rate is discussed further below</w:t>
      </w:r>
    </w:p>
    <w:p w:rsidR="0012676E" w:rsidRDefault="00461618" w:rsidP="0099226D">
      <w:pPr>
        <w:pStyle w:val="Heading1"/>
        <w:rPr>
          <w:color w:val="auto"/>
        </w:rPr>
      </w:pPr>
      <w:r>
        <w:rPr>
          <w:color w:val="auto"/>
        </w:rPr>
        <w:t>Study</w:t>
      </w:r>
    </w:p>
    <w:p w:rsidR="00461618" w:rsidRDefault="00461618" w:rsidP="00461618">
      <w:r>
        <w:t xml:space="preserve">Sea trials were carried out in Swansea Bay (ICES rectangle 31E6), off the coast off South Wales </w:t>
      </w:r>
      <w:r w:rsidR="00B36BDE">
        <w:t xml:space="preserve">(see Figure 2) </w:t>
      </w:r>
      <w:r>
        <w:t>on a vessel which is a f</w:t>
      </w:r>
      <w:r w:rsidR="00017C1F">
        <w:t>ibre-gall hulled netter of 9.88</w:t>
      </w:r>
      <w:r>
        <w:t xml:space="preserve">m overall length with a 90kw engine. </w:t>
      </w:r>
      <w:r w:rsidR="008B3718">
        <w:t xml:space="preserve">In total 44 hauls were made during two neap tides (see Figure 2 for locations of hauls). </w:t>
      </w:r>
      <w:r>
        <w:t>The fishing activity of the vessel was representative of normal practice. All fishing was carried out during neap tides on typical fishing grounds. Sole was the main target species.</w:t>
      </w:r>
    </w:p>
    <w:p w:rsidR="00B36BDE" w:rsidRDefault="00B36BDE" w:rsidP="00461618">
      <w:r w:rsidRPr="00B36BDE">
        <w:rPr>
          <w:noProof/>
          <w:lang w:eastAsia="en-GB"/>
        </w:rPr>
        <w:lastRenderedPageBreak/>
        <w:drawing>
          <wp:inline distT="0" distB="0" distL="0" distR="0">
            <wp:extent cx="6120130" cy="51095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109561"/>
                    </a:xfrm>
                    <a:prstGeom prst="rect">
                      <a:avLst/>
                    </a:prstGeom>
                    <a:noFill/>
                    <a:ln>
                      <a:noFill/>
                    </a:ln>
                  </pic:spPr>
                </pic:pic>
              </a:graphicData>
            </a:graphic>
          </wp:inline>
        </w:drawing>
      </w:r>
    </w:p>
    <w:p w:rsidR="00B36BDE" w:rsidRPr="00B36BDE" w:rsidRDefault="00B36BDE" w:rsidP="00461618">
      <w:pPr>
        <w:rPr>
          <w:b/>
          <w:sz w:val="20"/>
        </w:rPr>
      </w:pPr>
      <w:r w:rsidRPr="00B36BDE">
        <w:rPr>
          <w:b/>
          <w:sz w:val="20"/>
        </w:rPr>
        <w:t>Figure 2. Map of Swansea Bay and the locations of the hauls observed in the study.</w:t>
      </w:r>
    </w:p>
    <w:p w:rsidR="00461618" w:rsidRPr="00461618" w:rsidRDefault="00461618" w:rsidP="00461618">
      <w:pPr>
        <w:rPr>
          <w:u w:val="single"/>
        </w:rPr>
      </w:pPr>
      <w:r>
        <w:rPr>
          <w:u w:val="single"/>
        </w:rPr>
        <w:t>Fishing activity at sea</w:t>
      </w:r>
    </w:p>
    <w:p w:rsidR="00461618" w:rsidRDefault="00461618" w:rsidP="00461618">
      <w:r>
        <w:t xml:space="preserve">At sea sole trammel nets were shot from a net pound, hauled with a hydraulic hauler and cleared as per normal commercial fishing practice; the nets were boarded on deck and were cleared once the final anchor was retrieved and stowed. Sole and plaice were handed to the observer at the time that these fish would normally have been retained in a fish box or discarded back to the sea. </w:t>
      </w:r>
    </w:p>
    <w:p w:rsidR="00D36854" w:rsidRDefault="00D36854" w:rsidP="00461618">
      <w:pPr>
        <w:rPr>
          <w:u w:val="single"/>
        </w:rPr>
      </w:pPr>
      <w:r>
        <w:rPr>
          <w:u w:val="single"/>
        </w:rPr>
        <w:t>Data collection</w:t>
      </w:r>
    </w:p>
    <w:p w:rsidR="00D36854" w:rsidRPr="00D36854" w:rsidRDefault="00D36854" w:rsidP="00461618">
      <w:r>
        <w:t xml:space="preserve">All sole and plaice caught were recorded by length. The catch composition from each tier was recorded separately, alongside the positional and environmental information specific of that tier. </w:t>
      </w:r>
      <w:r w:rsidR="004D6225">
        <w:t xml:space="preserve">Each individual fish was measured and scored using a predefined assessment protocol developed methods described in the ICES WKMEDS 2014 report and refined in the Cefas laboratory using </w:t>
      </w:r>
      <w:r w:rsidR="003700CF">
        <w:t>aquarium kept plaice. Vitality was assess using a semi-quantitative assessment of activity and a quantitative reflex and injury scoring method.</w:t>
      </w:r>
    </w:p>
    <w:p w:rsidR="006125BB" w:rsidRDefault="006125BB" w:rsidP="00461618">
      <w:pPr>
        <w:rPr>
          <w:u w:val="single"/>
        </w:rPr>
      </w:pPr>
    </w:p>
    <w:p w:rsidR="00461618" w:rsidRDefault="008B3718" w:rsidP="00461618">
      <w:pPr>
        <w:rPr>
          <w:u w:val="single"/>
        </w:rPr>
      </w:pPr>
      <w:r>
        <w:rPr>
          <w:u w:val="single"/>
        </w:rPr>
        <w:lastRenderedPageBreak/>
        <w:t>C</w:t>
      </w:r>
      <w:r w:rsidR="006125BB">
        <w:rPr>
          <w:u w:val="single"/>
        </w:rPr>
        <w:t xml:space="preserve">atch </w:t>
      </w:r>
      <w:r w:rsidR="00684647">
        <w:rPr>
          <w:u w:val="single"/>
        </w:rPr>
        <w:t>composition</w:t>
      </w:r>
    </w:p>
    <w:p w:rsidR="008B3718" w:rsidRDefault="008B3718" w:rsidP="00461618">
      <w:r>
        <w:t>The catch composition was dominated by starry smooth hound, with sole and plaice featuring as the next mo</w:t>
      </w:r>
      <w:bookmarkStart w:id="1" w:name="_GoBack"/>
      <w:bookmarkEnd w:id="1"/>
      <w:r>
        <w:t xml:space="preserve">st abundant species. All sole and plaice caught were recorded. The length distribution is shown in Figure 3. A total of 409 plaice and 455 sole were caught and assessed for vitality. In total, 83 plaice and 189 sole were assessed as being dead/moribund at the point that they were unmeshed from the nets. The remaining fish were scored and a proportion of fish was selected for the on-board observation tanks. </w:t>
      </w:r>
      <w:r w:rsidR="006F30A9">
        <w:t xml:space="preserve">Table 1 sets out the vitality assessment </w:t>
      </w:r>
      <w:r w:rsidR="008D17D8">
        <w:t xml:space="preserve">and survivability probability </w:t>
      </w:r>
      <w:r w:rsidR="006F30A9">
        <w:t xml:space="preserve">of Plaice from the hauls used in the study. </w:t>
      </w:r>
    </w:p>
    <w:p w:rsidR="008B3718" w:rsidRDefault="008B3718" w:rsidP="00461618"/>
    <w:p w:rsidR="006F30A9" w:rsidRPr="00B24E76" w:rsidRDefault="006F30A9" w:rsidP="006F30A9">
      <w:pPr>
        <w:pStyle w:val="Caption"/>
        <w:rPr>
          <w:rFonts w:cs="Arial"/>
          <w:color w:val="auto"/>
          <w:sz w:val="24"/>
          <w:szCs w:val="24"/>
        </w:rPr>
      </w:pPr>
      <w:r w:rsidRPr="00B24E76">
        <w:rPr>
          <w:color w:val="auto"/>
          <w:sz w:val="24"/>
          <w:szCs w:val="24"/>
        </w:rPr>
        <w:t xml:space="preserve">Table </w:t>
      </w:r>
      <w:r>
        <w:rPr>
          <w:color w:val="auto"/>
          <w:sz w:val="24"/>
          <w:szCs w:val="24"/>
        </w:rPr>
        <w:t>1</w:t>
      </w:r>
      <w:r w:rsidRPr="00B24E76">
        <w:rPr>
          <w:color w:val="auto"/>
          <w:sz w:val="24"/>
          <w:szCs w:val="24"/>
        </w:rPr>
        <w:t xml:space="preserve">: Survivability and catch profile of study by vitality assessment for </w:t>
      </w:r>
      <w:r>
        <w:rPr>
          <w:color w:val="auto"/>
          <w:sz w:val="24"/>
          <w:szCs w:val="24"/>
        </w:rPr>
        <w:t>plaice.</w:t>
      </w:r>
    </w:p>
    <w:tbl>
      <w:tblPr>
        <w:tblStyle w:val="TableGrid"/>
        <w:tblW w:w="5407" w:type="pct"/>
        <w:jc w:val="center"/>
        <w:tblLook w:val="04A0" w:firstRow="1" w:lastRow="0" w:firstColumn="1" w:lastColumn="0" w:noHBand="0" w:noVBand="1"/>
      </w:tblPr>
      <w:tblGrid>
        <w:gridCol w:w="2047"/>
        <w:gridCol w:w="2450"/>
        <w:gridCol w:w="2224"/>
        <w:gridCol w:w="1720"/>
        <w:gridCol w:w="1960"/>
      </w:tblGrid>
      <w:tr w:rsidR="006F30A9" w:rsidRPr="0088024E" w:rsidTr="006F30A9">
        <w:trPr>
          <w:trHeight w:val="2188"/>
          <w:jc w:val="center"/>
        </w:trPr>
        <w:tc>
          <w:tcPr>
            <w:tcW w:w="2047" w:type="dxa"/>
            <w:vAlign w:val="center"/>
          </w:tcPr>
          <w:p w:rsidR="006F30A9" w:rsidRPr="00B74050" w:rsidRDefault="006F30A9" w:rsidP="006F30A9">
            <w:pPr>
              <w:jc w:val="center"/>
              <w:rPr>
                <w:rFonts w:cs="Arial"/>
                <w:b/>
              </w:rPr>
            </w:pPr>
            <w:r w:rsidRPr="00B74050">
              <w:rPr>
                <w:rFonts w:cs="Arial"/>
                <w:b/>
              </w:rPr>
              <w:t>Vitality assessment</w:t>
            </w:r>
          </w:p>
        </w:tc>
        <w:tc>
          <w:tcPr>
            <w:tcW w:w="2450" w:type="dxa"/>
            <w:vAlign w:val="center"/>
          </w:tcPr>
          <w:p w:rsidR="006F30A9" w:rsidRPr="00B74050" w:rsidRDefault="006F30A9" w:rsidP="006F30A9">
            <w:pPr>
              <w:jc w:val="center"/>
              <w:rPr>
                <w:rFonts w:cs="Arial"/>
                <w:b/>
              </w:rPr>
            </w:pPr>
            <w:r w:rsidRPr="00B74050">
              <w:rPr>
                <w:rFonts w:cs="Arial"/>
                <w:b/>
              </w:rPr>
              <w:t xml:space="preserve">Proportion of </w:t>
            </w:r>
            <w:r>
              <w:rPr>
                <w:rFonts w:cs="Arial"/>
                <w:b/>
              </w:rPr>
              <w:t xml:space="preserve">fish </w:t>
            </w:r>
            <w:r w:rsidRPr="00B74050">
              <w:rPr>
                <w:rFonts w:cs="Arial"/>
                <w:b/>
              </w:rPr>
              <w:t>at each vitality in study</w:t>
            </w:r>
            <w:r>
              <w:rPr>
                <w:rFonts w:cs="Arial"/>
                <w:b/>
              </w:rPr>
              <w:t xml:space="preserve"> 1</w:t>
            </w:r>
          </w:p>
        </w:tc>
        <w:tc>
          <w:tcPr>
            <w:tcW w:w="2224" w:type="dxa"/>
            <w:vAlign w:val="center"/>
          </w:tcPr>
          <w:p w:rsidR="006F30A9" w:rsidRPr="00B74050" w:rsidRDefault="006F30A9" w:rsidP="006F30A9">
            <w:pPr>
              <w:jc w:val="center"/>
              <w:rPr>
                <w:rFonts w:cs="Arial"/>
                <w:b/>
              </w:rPr>
            </w:pPr>
            <w:r w:rsidRPr="00B74050">
              <w:rPr>
                <w:rFonts w:cs="Arial"/>
                <w:b/>
              </w:rPr>
              <w:t>Survivability probability (%)</w:t>
            </w:r>
          </w:p>
        </w:tc>
        <w:tc>
          <w:tcPr>
            <w:tcW w:w="1720" w:type="dxa"/>
          </w:tcPr>
          <w:p w:rsidR="006F30A9" w:rsidRPr="00B74050" w:rsidRDefault="006F30A9" w:rsidP="006F30A9">
            <w:pPr>
              <w:jc w:val="center"/>
              <w:rPr>
                <w:rFonts w:cs="Arial"/>
                <w:b/>
              </w:rPr>
            </w:pPr>
            <w:r w:rsidRPr="00B74050">
              <w:rPr>
                <w:rFonts w:cs="Arial"/>
                <w:b/>
              </w:rPr>
              <w:t xml:space="preserve">Proportion of </w:t>
            </w:r>
            <w:r>
              <w:rPr>
                <w:rFonts w:cs="Arial"/>
                <w:b/>
              </w:rPr>
              <w:t xml:space="preserve">fish </w:t>
            </w:r>
            <w:r w:rsidRPr="00B74050">
              <w:rPr>
                <w:rFonts w:cs="Arial"/>
                <w:b/>
              </w:rPr>
              <w:t>at each vitality in study</w:t>
            </w:r>
            <w:r>
              <w:rPr>
                <w:rFonts w:cs="Arial"/>
                <w:b/>
              </w:rPr>
              <w:t xml:space="preserve"> 2</w:t>
            </w:r>
          </w:p>
        </w:tc>
        <w:tc>
          <w:tcPr>
            <w:tcW w:w="1960" w:type="dxa"/>
          </w:tcPr>
          <w:p w:rsidR="006F30A9" w:rsidRPr="00B74050" w:rsidRDefault="006F30A9" w:rsidP="006F30A9">
            <w:pPr>
              <w:jc w:val="center"/>
              <w:rPr>
                <w:rFonts w:cs="Arial"/>
                <w:b/>
              </w:rPr>
            </w:pPr>
            <w:r w:rsidRPr="00B74050">
              <w:rPr>
                <w:rFonts w:cs="Arial"/>
                <w:b/>
              </w:rPr>
              <w:t>Survivability probability (%)</w:t>
            </w:r>
          </w:p>
        </w:tc>
      </w:tr>
      <w:tr w:rsidR="006F30A9" w:rsidRPr="0088024E" w:rsidTr="006F30A9">
        <w:trPr>
          <w:trHeight w:val="773"/>
          <w:jc w:val="center"/>
        </w:trPr>
        <w:tc>
          <w:tcPr>
            <w:tcW w:w="2047" w:type="dxa"/>
            <w:vAlign w:val="center"/>
          </w:tcPr>
          <w:p w:rsidR="006F30A9" w:rsidRPr="0088024E" w:rsidRDefault="006F30A9" w:rsidP="006F30A9">
            <w:pPr>
              <w:jc w:val="center"/>
              <w:rPr>
                <w:rFonts w:cs="Arial"/>
              </w:rPr>
            </w:pPr>
            <w:r w:rsidRPr="0088024E">
              <w:rPr>
                <w:rFonts w:cs="Arial"/>
              </w:rPr>
              <w:t>Excellent</w:t>
            </w:r>
          </w:p>
        </w:tc>
        <w:tc>
          <w:tcPr>
            <w:tcW w:w="2450" w:type="dxa"/>
            <w:vAlign w:val="center"/>
          </w:tcPr>
          <w:p w:rsidR="006F30A9" w:rsidRPr="0088024E" w:rsidRDefault="006F30A9" w:rsidP="006F30A9">
            <w:pPr>
              <w:jc w:val="center"/>
              <w:rPr>
                <w:rFonts w:cs="Arial"/>
              </w:rPr>
            </w:pPr>
            <w:r>
              <w:rPr>
                <w:rFonts w:cs="Arial"/>
              </w:rPr>
              <w:t>0.53</w:t>
            </w:r>
          </w:p>
        </w:tc>
        <w:tc>
          <w:tcPr>
            <w:tcW w:w="2224" w:type="dxa"/>
            <w:vAlign w:val="center"/>
          </w:tcPr>
          <w:p w:rsidR="006F30A9" w:rsidRPr="0088024E" w:rsidRDefault="006F30A9" w:rsidP="006F30A9">
            <w:pPr>
              <w:jc w:val="center"/>
              <w:rPr>
                <w:rFonts w:cs="Arial"/>
              </w:rPr>
            </w:pPr>
            <w:r>
              <w:rPr>
                <w:rFonts w:cs="Arial"/>
              </w:rPr>
              <w:t>72.7</w:t>
            </w:r>
          </w:p>
        </w:tc>
        <w:tc>
          <w:tcPr>
            <w:tcW w:w="1720" w:type="dxa"/>
          </w:tcPr>
          <w:p w:rsidR="006F30A9" w:rsidRDefault="006F30A9" w:rsidP="006F30A9">
            <w:pPr>
              <w:jc w:val="center"/>
              <w:rPr>
                <w:rFonts w:cs="Arial"/>
              </w:rPr>
            </w:pPr>
            <w:r>
              <w:rPr>
                <w:rFonts w:cs="Arial"/>
              </w:rPr>
              <w:t>0.39</w:t>
            </w:r>
          </w:p>
        </w:tc>
        <w:tc>
          <w:tcPr>
            <w:tcW w:w="1960" w:type="dxa"/>
          </w:tcPr>
          <w:p w:rsidR="006F30A9" w:rsidRDefault="006F30A9" w:rsidP="006F30A9">
            <w:pPr>
              <w:jc w:val="center"/>
              <w:rPr>
                <w:rFonts w:cs="Arial"/>
              </w:rPr>
            </w:pPr>
            <w:r>
              <w:rPr>
                <w:rFonts w:cs="Arial"/>
              </w:rPr>
              <w:t>50.0</w:t>
            </w:r>
          </w:p>
        </w:tc>
      </w:tr>
      <w:tr w:rsidR="006F30A9" w:rsidRPr="0088024E" w:rsidTr="006F30A9">
        <w:trPr>
          <w:trHeight w:val="757"/>
          <w:jc w:val="center"/>
        </w:trPr>
        <w:tc>
          <w:tcPr>
            <w:tcW w:w="2047" w:type="dxa"/>
            <w:vAlign w:val="center"/>
          </w:tcPr>
          <w:p w:rsidR="006F30A9" w:rsidRPr="0088024E" w:rsidRDefault="006F30A9" w:rsidP="006F30A9">
            <w:pPr>
              <w:jc w:val="center"/>
              <w:rPr>
                <w:rFonts w:cs="Arial"/>
              </w:rPr>
            </w:pPr>
            <w:r w:rsidRPr="0088024E">
              <w:rPr>
                <w:rFonts w:cs="Arial"/>
              </w:rPr>
              <w:t>Good</w:t>
            </w:r>
          </w:p>
        </w:tc>
        <w:tc>
          <w:tcPr>
            <w:tcW w:w="2450" w:type="dxa"/>
            <w:vAlign w:val="center"/>
          </w:tcPr>
          <w:p w:rsidR="006F30A9" w:rsidRPr="0088024E" w:rsidRDefault="006F30A9" w:rsidP="006F30A9">
            <w:pPr>
              <w:jc w:val="center"/>
              <w:rPr>
                <w:rFonts w:cs="Arial"/>
              </w:rPr>
            </w:pPr>
            <w:r>
              <w:rPr>
                <w:rFonts w:cs="Arial"/>
              </w:rPr>
              <w:t>0.10</w:t>
            </w:r>
          </w:p>
        </w:tc>
        <w:tc>
          <w:tcPr>
            <w:tcW w:w="2224" w:type="dxa"/>
            <w:vAlign w:val="center"/>
          </w:tcPr>
          <w:p w:rsidR="006F30A9" w:rsidRPr="0088024E" w:rsidRDefault="006F30A9" w:rsidP="006F30A9">
            <w:pPr>
              <w:jc w:val="center"/>
              <w:rPr>
                <w:rFonts w:cs="Arial"/>
              </w:rPr>
            </w:pPr>
            <w:r>
              <w:rPr>
                <w:rFonts w:cs="Arial"/>
              </w:rPr>
              <w:t>36.4</w:t>
            </w:r>
          </w:p>
        </w:tc>
        <w:tc>
          <w:tcPr>
            <w:tcW w:w="1720" w:type="dxa"/>
          </w:tcPr>
          <w:p w:rsidR="006F30A9" w:rsidRDefault="006F30A9" w:rsidP="006F30A9">
            <w:pPr>
              <w:jc w:val="center"/>
              <w:rPr>
                <w:rFonts w:cs="Arial"/>
              </w:rPr>
            </w:pPr>
            <w:r>
              <w:rPr>
                <w:rFonts w:cs="Arial"/>
              </w:rPr>
              <w:t>0.10</w:t>
            </w:r>
          </w:p>
        </w:tc>
        <w:tc>
          <w:tcPr>
            <w:tcW w:w="1960" w:type="dxa"/>
          </w:tcPr>
          <w:p w:rsidR="006F30A9" w:rsidRPr="0088024E" w:rsidRDefault="006F30A9" w:rsidP="006F30A9">
            <w:pPr>
              <w:jc w:val="center"/>
              <w:rPr>
                <w:rFonts w:cs="Arial"/>
              </w:rPr>
            </w:pPr>
            <w:r>
              <w:rPr>
                <w:rFonts w:cs="Arial"/>
              </w:rPr>
              <w:t>0.0</w:t>
            </w:r>
          </w:p>
        </w:tc>
      </w:tr>
      <w:tr w:rsidR="006F30A9" w:rsidRPr="0088024E" w:rsidTr="006F30A9">
        <w:trPr>
          <w:trHeight w:val="773"/>
          <w:jc w:val="center"/>
        </w:trPr>
        <w:tc>
          <w:tcPr>
            <w:tcW w:w="2047" w:type="dxa"/>
            <w:vAlign w:val="center"/>
          </w:tcPr>
          <w:p w:rsidR="006F30A9" w:rsidRPr="0088024E" w:rsidRDefault="006F30A9" w:rsidP="006F30A9">
            <w:pPr>
              <w:jc w:val="center"/>
              <w:rPr>
                <w:rFonts w:cs="Arial"/>
              </w:rPr>
            </w:pPr>
            <w:r w:rsidRPr="0088024E">
              <w:rPr>
                <w:rFonts w:cs="Arial"/>
              </w:rPr>
              <w:t>Poor</w:t>
            </w:r>
          </w:p>
        </w:tc>
        <w:tc>
          <w:tcPr>
            <w:tcW w:w="2450" w:type="dxa"/>
            <w:vAlign w:val="center"/>
          </w:tcPr>
          <w:p w:rsidR="006F30A9" w:rsidRPr="0088024E" w:rsidRDefault="006F30A9" w:rsidP="006F30A9">
            <w:pPr>
              <w:jc w:val="center"/>
              <w:rPr>
                <w:rFonts w:cs="Arial"/>
              </w:rPr>
            </w:pPr>
            <w:r>
              <w:rPr>
                <w:rFonts w:cs="Arial"/>
              </w:rPr>
              <w:t>0.16</w:t>
            </w:r>
          </w:p>
        </w:tc>
        <w:tc>
          <w:tcPr>
            <w:tcW w:w="2224" w:type="dxa"/>
            <w:vAlign w:val="center"/>
          </w:tcPr>
          <w:p w:rsidR="006F30A9" w:rsidRPr="0088024E" w:rsidRDefault="006F30A9" w:rsidP="006F30A9">
            <w:pPr>
              <w:jc w:val="center"/>
              <w:rPr>
                <w:rFonts w:cs="Arial"/>
              </w:rPr>
            </w:pPr>
            <w:r>
              <w:rPr>
                <w:rFonts w:cs="Arial"/>
              </w:rPr>
              <w:t>42.1</w:t>
            </w:r>
          </w:p>
        </w:tc>
        <w:tc>
          <w:tcPr>
            <w:tcW w:w="1720" w:type="dxa"/>
          </w:tcPr>
          <w:p w:rsidR="006F30A9" w:rsidRDefault="006F30A9" w:rsidP="006F30A9">
            <w:pPr>
              <w:jc w:val="center"/>
              <w:rPr>
                <w:rFonts w:cs="Arial"/>
              </w:rPr>
            </w:pPr>
            <w:r>
              <w:rPr>
                <w:rFonts w:cs="Arial"/>
              </w:rPr>
              <w:t>0.15</w:t>
            </w:r>
          </w:p>
        </w:tc>
        <w:tc>
          <w:tcPr>
            <w:tcW w:w="1960" w:type="dxa"/>
          </w:tcPr>
          <w:p w:rsidR="006F30A9" w:rsidRPr="0088024E" w:rsidRDefault="006F30A9" w:rsidP="006F30A9">
            <w:pPr>
              <w:jc w:val="center"/>
              <w:rPr>
                <w:rFonts w:cs="Arial"/>
              </w:rPr>
            </w:pPr>
            <w:r>
              <w:rPr>
                <w:rFonts w:cs="Arial"/>
              </w:rPr>
              <w:t>6.3</w:t>
            </w:r>
          </w:p>
        </w:tc>
      </w:tr>
      <w:tr w:rsidR="006F30A9" w:rsidRPr="0088024E" w:rsidTr="006F30A9">
        <w:trPr>
          <w:trHeight w:val="757"/>
          <w:jc w:val="center"/>
        </w:trPr>
        <w:tc>
          <w:tcPr>
            <w:tcW w:w="2047" w:type="dxa"/>
            <w:vAlign w:val="center"/>
          </w:tcPr>
          <w:p w:rsidR="006F30A9" w:rsidRPr="0088024E" w:rsidRDefault="006F30A9" w:rsidP="006F30A9">
            <w:pPr>
              <w:jc w:val="center"/>
              <w:rPr>
                <w:rFonts w:cs="Arial"/>
              </w:rPr>
            </w:pPr>
            <w:r w:rsidRPr="0088024E">
              <w:rPr>
                <w:rFonts w:cs="Arial"/>
              </w:rPr>
              <w:t>Dead</w:t>
            </w:r>
          </w:p>
        </w:tc>
        <w:tc>
          <w:tcPr>
            <w:tcW w:w="2450" w:type="dxa"/>
            <w:vAlign w:val="center"/>
          </w:tcPr>
          <w:p w:rsidR="006F30A9" w:rsidRPr="0088024E" w:rsidRDefault="006F30A9" w:rsidP="006F30A9">
            <w:pPr>
              <w:jc w:val="center"/>
              <w:rPr>
                <w:rFonts w:cs="Arial"/>
              </w:rPr>
            </w:pPr>
            <w:r>
              <w:rPr>
                <w:rFonts w:cs="Arial"/>
              </w:rPr>
              <w:t>0.20</w:t>
            </w:r>
          </w:p>
        </w:tc>
        <w:tc>
          <w:tcPr>
            <w:tcW w:w="2224" w:type="dxa"/>
            <w:vAlign w:val="center"/>
          </w:tcPr>
          <w:p w:rsidR="006F30A9" w:rsidRPr="0088024E" w:rsidRDefault="006F30A9" w:rsidP="006F30A9">
            <w:pPr>
              <w:keepNext/>
              <w:jc w:val="center"/>
              <w:rPr>
                <w:rFonts w:cs="Arial"/>
              </w:rPr>
            </w:pPr>
            <w:r>
              <w:rPr>
                <w:rFonts w:cs="Arial"/>
              </w:rPr>
              <w:t>-</w:t>
            </w:r>
          </w:p>
        </w:tc>
        <w:tc>
          <w:tcPr>
            <w:tcW w:w="1720" w:type="dxa"/>
          </w:tcPr>
          <w:p w:rsidR="006F30A9" w:rsidRPr="0088024E" w:rsidRDefault="006F30A9" w:rsidP="006F30A9">
            <w:pPr>
              <w:keepNext/>
              <w:jc w:val="center"/>
              <w:rPr>
                <w:rFonts w:cs="Arial"/>
              </w:rPr>
            </w:pPr>
            <w:r>
              <w:rPr>
                <w:rFonts w:cs="Arial"/>
              </w:rPr>
              <w:t>0.46</w:t>
            </w:r>
          </w:p>
        </w:tc>
        <w:tc>
          <w:tcPr>
            <w:tcW w:w="1960" w:type="dxa"/>
          </w:tcPr>
          <w:p w:rsidR="006F30A9" w:rsidRPr="0088024E" w:rsidRDefault="006F30A9" w:rsidP="006F30A9">
            <w:pPr>
              <w:keepNext/>
              <w:jc w:val="center"/>
              <w:rPr>
                <w:rFonts w:cs="Arial"/>
              </w:rPr>
            </w:pPr>
            <w:r>
              <w:rPr>
                <w:rFonts w:cs="Arial"/>
              </w:rPr>
              <w:t>-</w:t>
            </w:r>
          </w:p>
        </w:tc>
      </w:tr>
    </w:tbl>
    <w:p w:rsidR="008B3718" w:rsidRDefault="008B3718" w:rsidP="00461618"/>
    <w:p w:rsidR="008B3718" w:rsidRDefault="008B3718" w:rsidP="00461618"/>
    <w:p w:rsidR="008B3718" w:rsidRDefault="008B3718" w:rsidP="00461618"/>
    <w:p w:rsidR="008B3718" w:rsidRDefault="008B3718" w:rsidP="00461618"/>
    <w:p w:rsidR="008B3718" w:rsidRDefault="008B3718" w:rsidP="00461618"/>
    <w:p w:rsidR="008B3718" w:rsidRDefault="008B3718" w:rsidP="00461618"/>
    <w:p w:rsidR="008B3718" w:rsidRDefault="008B3718" w:rsidP="00461618"/>
    <w:p w:rsidR="008B3718" w:rsidRPr="008B3718" w:rsidRDefault="008B3718" w:rsidP="00461618">
      <w:r w:rsidRPr="008B3718">
        <w:rPr>
          <w:noProof/>
          <w:lang w:eastAsia="en-GB"/>
        </w:rPr>
        <w:lastRenderedPageBreak/>
        <w:drawing>
          <wp:inline distT="0" distB="0" distL="0" distR="0">
            <wp:extent cx="4467225" cy="20995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8390" cy="2104794"/>
                    </a:xfrm>
                    <a:prstGeom prst="rect">
                      <a:avLst/>
                    </a:prstGeom>
                    <a:noFill/>
                    <a:ln>
                      <a:noFill/>
                    </a:ln>
                  </pic:spPr>
                </pic:pic>
              </a:graphicData>
            </a:graphic>
          </wp:inline>
        </w:drawing>
      </w:r>
    </w:p>
    <w:p w:rsidR="008B3718" w:rsidRDefault="008B3718" w:rsidP="00461618"/>
    <w:p w:rsidR="008B3718" w:rsidRDefault="006125BB" w:rsidP="00461618">
      <w:r w:rsidRPr="008B3718">
        <w:rPr>
          <w:noProof/>
          <w:lang w:eastAsia="en-GB"/>
        </w:rPr>
        <w:drawing>
          <wp:inline distT="0" distB="0" distL="0" distR="0" wp14:anchorId="6E10C43B" wp14:editId="1444F190">
            <wp:extent cx="4467225" cy="20995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2121" cy="2106547"/>
                    </a:xfrm>
                    <a:prstGeom prst="rect">
                      <a:avLst/>
                    </a:prstGeom>
                    <a:noFill/>
                    <a:ln>
                      <a:noFill/>
                    </a:ln>
                  </pic:spPr>
                </pic:pic>
              </a:graphicData>
            </a:graphic>
          </wp:inline>
        </w:drawing>
      </w:r>
    </w:p>
    <w:p w:rsidR="008B3718" w:rsidRDefault="008B3718" w:rsidP="00461618"/>
    <w:p w:rsidR="008B3718" w:rsidRDefault="008B3718" w:rsidP="00461618"/>
    <w:p w:rsidR="008B3718" w:rsidRDefault="006125BB" w:rsidP="00461618">
      <w:r w:rsidRPr="008B3718">
        <w:rPr>
          <w:noProof/>
          <w:lang w:eastAsia="en-GB"/>
        </w:rPr>
        <w:drawing>
          <wp:inline distT="0" distB="0" distL="0" distR="0" wp14:anchorId="5E5CEDA8" wp14:editId="2E162C50">
            <wp:extent cx="4438398" cy="22669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011" cy="2273392"/>
                    </a:xfrm>
                    <a:prstGeom prst="rect">
                      <a:avLst/>
                    </a:prstGeom>
                    <a:noFill/>
                    <a:ln>
                      <a:noFill/>
                    </a:ln>
                  </pic:spPr>
                </pic:pic>
              </a:graphicData>
            </a:graphic>
          </wp:inline>
        </w:drawing>
      </w:r>
    </w:p>
    <w:p w:rsidR="008B3718" w:rsidRDefault="008B3718" w:rsidP="00461618"/>
    <w:p w:rsidR="008B3718" w:rsidRPr="008B3718" w:rsidRDefault="008B3718" w:rsidP="00461618">
      <w:pPr>
        <w:rPr>
          <w:b/>
          <w:sz w:val="22"/>
        </w:rPr>
      </w:pPr>
      <w:r w:rsidRPr="008B3718">
        <w:rPr>
          <w:b/>
          <w:sz w:val="22"/>
        </w:rPr>
        <w:t xml:space="preserve">Figure 3. Length frequencies of plaice and </w:t>
      </w:r>
      <w:r>
        <w:rPr>
          <w:b/>
          <w:sz w:val="22"/>
        </w:rPr>
        <w:t>s</w:t>
      </w:r>
      <w:r w:rsidRPr="008B3718">
        <w:rPr>
          <w:b/>
          <w:sz w:val="22"/>
        </w:rPr>
        <w:t>ole in trammel net catches and held for observation</w:t>
      </w:r>
    </w:p>
    <w:p w:rsidR="008B3718" w:rsidRPr="008B3718" w:rsidRDefault="008B3718" w:rsidP="00461618"/>
    <w:p w:rsidR="008B3718" w:rsidRDefault="008B3718" w:rsidP="00461618">
      <w:r>
        <w:rPr>
          <w:u w:val="single"/>
        </w:rPr>
        <w:lastRenderedPageBreak/>
        <w:t>Results</w:t>
      </w:r>
    </w:p>
    <w:p w:rsidR="00BD3304" w:rsidRDefault="000D1049" w:rsidP="00461618">
      <w:r>
        <w:t>The estimated survival in the observation period was 49.3% (37.1-59.8%)</w:t>
      </w:r>
    </w:p>
    <w:p w:rsidR="00606A66" w:rsidRDefault="00606A66" w:rsidP="00461618">
      <w:r>
        <w:t>The study identified a number of potential stressors on the captive fish associated with the methodology in this study, which are likely to have resulted in experimental induced mortality and therefore underestimated survival. Specifically these stressors included:</w:t>
      </w:r>
    </w:p>
    <w:p w:rsidR="00606A66" w:rsidRDefault="00606A66" w:rsidP="00606A66">
      <w:pPr>
        <w:pStyle w:val="Default"/>
      </w:pP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Handling fish to conduct the vitality assessments, length measurements and to put fish into the on-board tanks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Captivity in the on-board tanks (movement caused by vessel movement; proximity with other fish; serial flow of water from top to bottom tank)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Stopping water flow to on-board tanks on approach to port until docked (reducing dO2)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Transfer of fish into tubs (handling of fish)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Carrying tubs off the vessel and transporting, by van, to onshore holding tanks (increased temperature, reduced dO2, movement)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Handling the fish to transfer into onshore tanks </w:t>
      </w:r>
    </w:p>
    <w:p w:rsidR="00606A66" w:rsidRDefault="00606A66" w:rsidP="00606A66">
      <w:pPr>
        <w:pStyle w:val="Default"/>
        <w:numPr>
          <w:ilvl w:val="0"/>
          <w:numId w:val="25"/>
        </w:numPr>
        <w:rPr>
          <w:rFonts w:ascii="Arial" w:hAnsi="Arial" w:cs="Arial"/>
          <w:szCs w:val="22"/>
        </w:rPr>
      </w:pPr>
      <w:r w:rsidRPr="00606A66">
        <w:rPr>
          <w:rFonts w:ascii="Arial" w:hAnsi="Arial" w:cs="Arial"/>
          <w:szCs w:val="22"/>
        </w:rPr>
        <w:t xml:space="preserve">Adjusting to salinity and temperature </w:t>
      </w:r>
    </w:p>
    <w:p w:rsidR="00606A66" w:rsidRDefault="00606A66" w:rsidP="00606A66">
      <w:pPr>
        <w:pStyle w:val="Default"/>
        <w:rPr>
          <w:rFonts w:ascii="Arial" w:hAnsi="Arial" w:cs="Arial"/>
          <w:szCs w:val="22"/>
        </w:rPr>
      </w:pPr>
    </w:p>
    <w:p w:rsidR="00606A66" w:rsidRPr="00606A66" w:rsidRDefault="00606A66" w:rsidP="00606A66">
      <w:pPr>
        <w:pStyle w:val="Default"/>
        <w:rPr>
          <w:rFonts w:ascii="Arial" w:hAnsi="Arial" w:cs="Arial"/>
          <w:szCs w:val="22"/>
        </w:rPr>
      </w:pPr>
      <w:r>
        <w:rPr>
          <w:rFonts w:ascii="Arial" w:hAnsi="Arial" w:cs="Arial"/>
          <w:szCs w:val="22"/>
        </w:rPr>
        <w:t xml:space="preserve">Constructing survival studies on small commercial vessels in remote ports is technical and logistical challenging. Due to restricted deck space the vessels could only hold small number of </w:t>
      </w:r>
      <w:r w:rsidR="00254743">
        <w:rPr>
          <w:rFonts w:ascii="Arial" w:hAnsi="Arial" w:cs="Arial"/>
          <w:szCs w:val="22"/>
        </w:rPr>
        <w:t>fish in suitable tanks, and these must be transferred to shore when fishing for less than one day, this meant that the use of controls had to be limited and there were unavoidable additional stressors exerted on the fish. The survival estimates should, therefore, be interpreted as minimum discard survival estimates.</w:t>
      </w:r>
    </w:p>
    <w:p w:rsidR="00171CA7" w:rsidRPr="002A3561" w:rsidRDefault="00171CA7" w:rsidP="0099226D">
      <w:pPr>
        <w:pStyle w:val="Heading1"/>
        <w:rPr>
          <w:color w:val="auto"/>
        </w:rPr>
      </w:pPr>
      <w:r w:rsidRPr="002A3561">
        <w:rPr>
          <w:color w:val="auto"/>
        </w:rPr>
        <w:t>Conclusion</w:t>
      </w:r>
    </w:p>
    <w:p w:rsidR="008C2561" w:rsidRDefault="00606A66" w:rsidP="00606A66">
      <w:pPr>
        <w:pStyle w:val="CefasSub-heading"/>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The UK believes that the fishing practices </w:t>
      </w:r>
      <w:r w:rsidR="001B0565">
        <w:rPr>
          <w:rFonts w:ascii="Arial" w:hAnsi="Arial" w:cs="Arial"/>
          <w:color w:val="000000" w:themeColor="text1"/>
          <w:sz w:val="24"/>
          <w:szCs w:val="24"/>
        </w:rPr>
        <w:t>i</w:t>
      </w:r>
      <w:r>
        <w:rPr>
          <w:rFonts w:ascii="Arial" w:hAnsi="Arial" w:cs="Arial"/>
          <w:color w:val="000000" w:themeColor="text1"/>
          <w:sz w:val="24"/>
          <w:szCs w:val="24"/>
        </w:rPr>
        <w:t xml:space="preserve">n </w:t>
      </w:r>
      <w:r w:rsidR="001B0565">
        <w:rPr>
          <w:rFonts w:ascii="Arial" w:hAnsi="Arial" w:cs="Arial"/>
          <w:color w:val="000000" w:themeColor="text1"/>
          <w:sz w:val="24"/>
          <w:szCs w:val="24"/>
        </w:rPr>
        <w:t>Swansea Bay</w:t>
      </w:r>
      <w:r>
        <w:rPr>
          <w:rFonts w:ascii="Arial" w:hAnsi="Arial" w:cs="Arial"/>
          <w:color w:val="000000" w:themeColor="text1"/>
          <w:sz w:val="24"/>
          <w:szCs w:val="24"/>
        </w:rPr>
        <w:t xml:space="preserve"> resulting in survival rates of </w:t>
      </w:r>
      <w:r w:rsidR="001B0565">
        <w:rPr>
          <w:rFonts w:ascii="Arial" w:hAnsi="Arial" w:cs="Arial"/>
          <w:color w:val="000000" w:themeColor="text1"/>
          <w:sz w:val="24"/>
          <w:szCs w:val="24"/>
        </w:rPr>
        <w:t>49</w:t>
      </w:r>
      <w:r>
        <w:rPr>
          <w:rFonts w:ascii="Arial" w:hAnsi="Arial" w:cs="Arial"/>
          <w:color w:val="000000" w:themeColor="text1"/>
          <w:sz w:val="24"/>
          <w:szCs w:val="24"/>
        </w:rPr>
        <w:t xml:space="preserve">% </w:t>
      </w:r>
      <w:r w:rsidR="001B0565">
        <w:rPr>
          <w:rFonts w:ascii="Arial" w:hAnsi="Arial" w:cs="Arial"/>
          <w:color w:val="000000" w:themeColor="text1"/>
          <w:sz w:val="24"/>
          <w:szCs w:val="24"/>
        </w:rPr>
        <w:t xml:space="preserve">for bycatches of Plaice </w:t>
      </w:r>
      <w:r>
        <w:rPr>
          <w:rFonts w:ascii="Arial" w:hAnsi="Arial" w:cs="Arial"/>
          <w:color w:val="000000" w:themeColor="text1"/>
          <w:sz w:val="24"/>
          <w:szCs w:val="24"/>
        </w:rPr>
        <w:t xml:space="preserve">are representative of general fishing practices by the vessels fishing for </w:t>
      </w:r>
      <w:r w:rsidR="001B0565">
        <w:rPr>
          <w:rFonts w:ascii="Arial" w:hAnsi="Arial" w:cs="Arial"/>
          <w:color w:val="000000" w:themeColor="text1"/>
          <w:sz w:val="24"/>
          <w:szCs w:val="24"/>
        </w:rPr>
        <w:t>sole</w:t>
      </w:r>
      <w:r>
        <w:rPr>
          <w:rFonts w:ascii="Arial" w:hAnsi="Arial" w:cs="Arial"/>
          <w:color w:val="000000" w:themeColor="text1"/>
          <w:sz w:val="24"/>
          <w:szCs w:val="24"/>
        </w:rPr>
        <w:t xml:space="preserve"> </w:t>
      </w:r>
      <w:r w:rsidR="001B0565">
        <w:rPr>
          <w:rFonts w:ascii="Arial" w:hAnsi="Arial" w:cs="Arial"/>
          <w:color w:val="000000" w:themeColor="text1"/>
          <w:sz w:val="24"/>
          <w:szCs w:val="24"/>
        </w:rPr>
        <w:t xml:space="preserve">using trammel nets in ICES areas </w:t>
      </w:r>
      <w:proofErr w:type="spellStart"/>
      <w:r w:rsidR="001B0565">
        <w:rPr>
          <w:rFonts w:ascii="Arial" w:hAnsi="Arial" w:cs="Arial"/>
          <w:color w:val="000000" w:themeColor="text1"/>
          <w:sz w:val="24"/>
          <w:szCs w:val="24"/>
        </w:rPr>
        <w:t>VIIf</w:t>
      </w:r>
      <w:proofErr w:type="spellEnd"/>
      <w:r w:rsidR="001B0565">
        <w:rPr>
          <w:rFonts w:ascii="Arial" w:hAnsi="Arial" w:cs="Arial"/>
          <w:color w:val="000000" w:themeColor="text1"/>
          <w:sz w:val="24"/>
          <w:szCs w:val="24"/>
        </w:rPr>
        <w:t xml:space="preserve"> &amp; g.</w:t>
      </w:r>
      <w:r w:rsidR="009A261C">
        <w:rPr>
          <w:rFonts w:ascii="Arial" w:hAnsi="Arial" w:cs="Arial"/>
          <w:color w:val="000000" w:themeColor="text1"/>
          <w:sz w:val="24"/>
          <w:szCs w:val="24"/>
        </w:rPr>
        <w:t xml:space="preserve"> The effort of UK vessels in this area is low as illustrated in Figure 1, and the estimated discards from the vessels using trammel nets </w:t>
      </w:r>
      <w:r w:rsidR="008C2561">
        <w:rPr>
          <w:rFonts w:ascii="Arial" w:hAnsi="Arial" w:cs="Arial"/>
          <w:color w:val="000000" w:themeColor="text1"/>
          <w:sz w:val="24"/>
          <w:szCs w:val="24"/>
        </w:rPr>
        <w:t>is 22.86 tonnes. This high survival exemption will be limited to a very small number of vessels and will only apply to a small proportion of their fishing activity. However this high survival exemption will be vital for these vessels to be allowed to continue to target valuable quota and non-quota stocks through the year.</w:t>
      </w:r>
    </w:p>
    <w:p w:rsidR="00606A66" w:rsidRDefault="00606A66" w:rsidP="00606A66">
      <w:pPr>
        <w:pStyle w:val="CefasSub-heading"/>
        <w:spacing w:after="0" w:line="240" w:lineRule="auto"/>
        <w:jc w:val="both"/>
        <w:rPr>
          <w:rFonts w:ascii="Arial" w:hAnsi="Arial" w:cs="Arial"/>
          <w:color w:val="000000" w:themeColor="text1"/>
          <w:sz w:val="24"/>
          <w:szCs w:val="24"/>
        </w:rPr>
      </w:pPr>
    </w:p>
    <w:p w:rsidR="00606A66" w:rsidRPr="00BE5898" w:rsidRDefault="00606A66" w:rsidP="00606A66">
      <w:pPr>
        <w:spacing w:after="0" w:line="240" w:lineRule="auto"/>
        <w:rPr>
          <w:rFonts w:cs="Arial"/>
          <w:color w:val="000000" w:themeColor="text1"/>
        </w:rPr>
      </w:pPr>
      <w:r w:rsidRPr="00BE5898">
        <w:rPr>
          <w:rFonts w:cs="Arial"/>
          <w:color w:val="000000" w:themeColor="text1"/>
        </w:rPr>
        <w:t>On this basis we would like to request a h</w:t>
      </w:r>
      <w:r w:rsidRPr="00BE5898">
        <w:rPr>
          <w:rFonts w:cs="Arial"/>
        </w:rPr>
        <w:t xml:space="preserve">igh survival exemption for </w:t>
      </w:r>
      <w:r w:rsidR="001B0565">
        <w:rPr>
          <w:rFonts w:cs="Arial"/>
        </w:rPr>
        <w:t>plaice</w:t>
      </w:r>
      <w:r w:rsidRPr="00BE5898">
        <w:rPr>
          <w:rFonts w:cs="Arial"/>
        </w:rPr>
        <w:t xml:space="preserve"> caught by </w:t>
      </w:r>
      <w:r w:rsidR="001B0565">
        <w:rPr>
          <w:rFonts w:cs="Arial"/>
        </w:rPr>
        <w:t xml:space="preserve">trammel nets </w:t>
      </w:r>
      <w:r w:rsidRPr="00BE5898">
        <w:rPr>
          <w:rFonts w:cs="Arial"/>
        </w:rPr>
        <w:t xml:space="preserve">in ICES </w:t>
      </w:r>
      <w:r>
        <w:rPr>
          <w:rFonts w:cs="Arial"/>
        </w:rPr>
        <w:t>A</w:t>
      </w:r>
      <w:r w:rsidRPr="00BE5898">
        <w:rPr>
          <w:rFonts w:cs="Arial"/>
        </w:rPr>
        <w:t>rea</w:t>
      </w:r>
      <w:r w:rsidR="001B0565">
        <w:rPr>
          <w:rFonts w:cs="Arial"/>
        </w:rPr>
        <w:t>s</w:t>
      </w:r>
      <w:r w:rsidRPr="00BE5898">
        <w:rPr>
          <w:rFonts w:cs="Arial"/>
        </w:rPr>
        <w:t xml:space="preserve"> </w:t>
      </w:r>
      <w:proofErr w:type="spellStart"/>
      <w:r w:rsidR="001B0565">
        <w:rPr>
          <w:rFonts w:cs="Arial"/>
        </w:rPr>
        <w:t>VIIf</w:t>
      </w:r>
      <w:proofErr w:type="spellEnd"/>
      <w:r w:rsidR="001B0565">
        <w:rPr>
          <w:rFonts w:cs="Arial"/>
        </w:rPr>
        <w:t xml:space="preserve"> &amp; g</w:t>
      </w:r>
      <w:r>
        <w:rPr>
          <w:rFonts w:cs="Arial"/>
        </w:rPr>
        <w:t>.</w:t>
      </w:r>
    </w:p>
    <w:p w:rsidR="00606A66" w:rsidRDefault="00606A66" w:rsidP="00606A66">
      <w:pPr>
        <w:pStyle w:val="CefasSub-heading"/>
        <w:spacing w:after="0" w:line="240" w:lineRule="auto"/>
        <w:jc w:val="both"/>
        <w:rPr>
          <w:rFonts w:ascii="Arial" w:hAnsi="Arial" w:cs="Arial"/>
          <w:color w:val="000000" w:themeColor="text1"/>
          <w:sz w:val="24"/>
          <w:szCs w:val="24"/>
        </w:rPr>
      </w:pPr>
    </w:p>
    <w:p w:rsidR="007326BB" w:rsidRDefault="007326BB">
      <w:pPr>
        <w:spacing w:before="0" w:after="0" w:line="240" w:lineRule="auto"/>
        <w:rPr>
          <w:rFonts w:cs="Arial"/>
          <w:b/>
        </w:rPr>
      </w:pPr>
      <w:r>
        <w:rPr>
          <w:rFonts w:cs="Arial"/>
          <w:b/>
        </w:rPr>
        <w:br w:type="page"/>
      </w:r>
    </w:p>
    <w:p w:rsidR="007326BB" w:rsidRDefault="007326BB" w:rsidP="007326BB">
      <w:pPr>
        <w:rPr>
          <w:rFonts w:cs="Arial"/>
          <w:b/>
        </w:rPr>
        <w:sectPr w:rsidR="007326BB" w:rsidSect="002A3561">
          <w:headerReference w:type="default" r:id="rId14"/>
          <w:footerReference w:type="default" r:id="rId15"/>
          <w:pgSz w:w="11906" w:h="16838"/>
          <w:pgMar w:top="1134" w:right="1134" w:bottom="1134" w:left="1134" w:header="709" w:footer="415" w:gutter="0"/>
          <w:cols w:space="708"/>
          <w:docGrid w:linePitch="360"/>
        </w:sectPr>
      </w:pPr>
    </w:p>
    <w:p w:rsidR="007326BB" w:rsidRDefault="007326BB" w:rsidP="007326BB">
      <w:pPr>
        <w:rPr>
          <w:rFonts w:cs="Arial"/>
          <w:b/>
        </w:rPr>
      </w:pPr>
      <w:r>
        <w:rPr>
          <w:rFonts w:cs="Arial"/>
          <w:b/>
        </w:rPr>
        <w:lastRenderedPageBreak/>
        <w:t>Table 5: Completed STECF table for high survivability proposal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000"/>
        <w:gridCol w:w="1606"/>
        <w:gridCol w:w="1623"/>
        <w:gridCol w:w="1623"/>
        <w:gridCol w:w="1623"/>
        <w:gridCol w:w="1484"/>
        <w:gridCol w:w="1842"/>
        <w:gridCol w:w="1524"/>
      </w:tblGrid>
      <w:tr w:rsidR="007326BB" w:rsidTr="00050489">
        <w:tc>
          <w:tcPr>
            <w:tcW w:w="1235" w:type="dxa"/>
          </w:tcPr>
          <w:p w:rsidR="007326BB" w:rsidRDefault="007326BB" w:rsidP="007326BB">
            <w:pPr>
              <w:rPr>
                <w:rFonts w:cs="Arial"/>
                <w:b/>
              </w:rPr>
            </w:pPr>
            <w:r>
              <w:rPr>
                <w:rFonts w:cs="Arial"/>
                <w:b/>
              </w:rPr>
              <w:t>Country</w:t>
            </w:r>
          </w:p>
        </w:tc>
        <w:tc>
          <w:tcPr>
            <w:tcW w:w="2000" w:type="dxa"/>
          </w:tcPr>
          <w:p w:rsidR="007326BB" w:rsidRDefault="007326BB" w:rsidP="007326BB">
            <w:pPr>
              <w:rPr>
                <w:rFonts w:cs="Arial"/>
                <w:b/>
              </w:rPr>
            </w:pPr>
            <w:r>
              <w:rPr>
                <w:rFonts w:cs="Arial"/>
                <w:b/>
              </w:rPr>
              <w:t>Exemption applied for (species, area, gear type)</w:t>
            </w:r>
          </w:p>
        </w:tc>
        <w:tc>
          <w:tcPr>
            <w:tcW w:w="1606" w:type="dxa"/>
          </w:tcPr>
          <w:p w:rsidR="007326BB" w:rsidRDefault="007326BB" w:rsidP="007326BB">
            <w:pPr>
              <w:rPr>
                <w:rFonts w:cs="Arial"/>
                <w:b/>
              </w:rPr>
            </w:pPr>
            <w:r>
              <w:rPr>
                <w:rFonts w:cs="Arial"/>
                <w:b/>
              </w:rPr>
              <w:t>Species as bycatch or target</w:t>
            </w:r>
          </w:p>
        </w:tc>
        <w:tc>
          <w:tcPr>
            <w:tcW w:w="1623" w:type="dxa"/>
          </w:tcPr>
          <w:p w:rsidR="007326BB" w:rsidRDefault="007326BB" w:rsidP="007326BB">
            <w:pPr>
              <w:rPr>
                <w:rFonts w:cs="Arial"/>
                <w:b/>
              </w:rPr>
            </w:pPr>
            <w:r>
              <w:rPr>
                <w:rFonts w:cs="Arial"/>
                <w:b/>
              </w:rPr>
              <w:t xml:space="preserve">Number of vessels subject to the landing obligation </w:t>
            </w:r>
          </w:p>
        </w:tc>
        <w:tc>
          <w:tcPr>
            <w:tcW w:w="1623" w:type="dxa"/>
          </w:tcPr>
          <w:p w:rsidR="007326BB" w:rsidRDefault="007326BB" w:rsidP="007326BB">
            <w:pPr>
              <w:rPr>
                <w:rFonts w:cs="Arial"/>
                <w:b/>
              </w:rPr>
            </w:pPr>
            <w:r>
              <w:rPr>
                <w:rFonts w:cs="Arial"/>
                <w:b/>
              </w:rPr>
              <w:t>Landings (by landing obligation subject vessels)</w:t>
            </w:r>
          </w:p>
        </w:tc>
        <w:tc>
          <w:tcPr>
            <w:tcW w:w="1623" w:type="dxa"/>
          </w:tcPr>
          <w:p w:rsidR="007326BB" w:rsidRDefault="00752AAA" w:rsidP="007326BB">
            <w:pPr>
              <w:rPr>
                <w:rFonts w:cs="Arial"/>
                <w:b/>
              </w:rPr>
            </w:pPr>
            <w:r>
              <w:rPr>
                <w:rFonts w:cs="Arial"/>
                <w:b/>
              </w:rPr>
              <w:t>Estimated Discards</w:t>
            </w:r>
          </w:p>
        </w:tc>
        <w:tc>
          <w:tcPr>
            <w:tcW w:w="1484" w:type="dxa"/>
          </w:tcPr>
          <w:p w:rsidR="007326BB" w:rsidRDefault="00752AAA" w:rsidP="007326BB">
            <w:pPr>
              <w:rPr>
                <w:rFonts w:cs="Arial"/>
                <w:b/>
              </w:rPr>
            </w:pPr>
            <w:r>
              <w:rPr>
                <w:rFonts w:cs="Arial"/>
                <w:b/>
              </w:rPr>
              <w:t>Estimated Catch</w:t>
            </w:r>
          </w:p>
        </w:tc>
        <w:tc>
          <w:tcPr>
            <w:tcW w:w="1842" w:type="dxa"/>
          </w:tcPr>
          <w:p w:rsidR="007326BB" w:rsidRDefault="00752AAA" w:rsidP="007326BB">
            <w:pPr>
              <w:rPr>
                <w:rFonts w:cs="Arial"/>
                <w:b/>
              </w:rPr>
            </w:pPr>
            <w:r>
              <w:rPr>
                <w:rFonts w:cs="Arial"/>
                <w:b/>
              </w:rPr>
              <w:t>Discard Rate</w:t>
            </w:r>
          </w:p>
        </w:tc>
        <w:tc>
          <w:tcPr>
            <w:tcW w:w="1524" w:type="dxa"/>
          </w:tcPr>
          <w:p w:rsidR="007326BB" w:rsidRDefault="00752AAA" w:rsidP="007326BB">
            <w:pPr>
              <w:rPr>
                <w:rFonts w:cs="Arial"/>
                <w:b/>
              </w:rPr>
            </w:pPr>
            <w:r>
              <w:rPr>
                <w:rFonts w:cs="Arial"/>
                <w:b/>
              </w:rPr>
              <w:t>Estimated discard survival rate from provided studies</w:t>
            </w:r>
          </w:p>
        </w:tc>
      </w:tr>
      <w:tr w:rsidR="007326BB" w:rsidTr="00050489">
        <w:tc>
          <w:tcPr>
            <w:tcW w:w="1235" w:type="dxa"/>
          </w:tcPr>
          <w:p w:rsidR="007326BB" w:rsidRPr="00A3096C" w:rsidRDefault="00A3096C" w:rsidP="007326BB">
            <w:pPr>
              <w:rPr>
                <w:rFonts w:cs="Arial"/>
              </w:rPr>
            </w:pPr>
            <w:r>
              <w:rPr>
                <w:rFonts w:cs="Arial"/>
              </w:rPr>
              <w:t>UK</w:t>
            </w:r>
          </w:p>
        </w:tc>
        <w:tc>
          <w:tcPr>
            <w:tcW w:w="2000" w:type="dxa"/>
          </w:tcPr>
          <w:p w:rsidR="007326BB" w:rsidRDefault="009A1BCA" w:rsidP="007326BB">
            <w:pPr>
              <w:rPr>
                <w:rFonts w:cs="Arial"/>
              </w:rPr>
            </w:pPr>
            <w:r>
              <w:rPr>
                <w:rFonts w:cs="Arial"/>
              </w:rPr>
              <w:t xml:space="preserve">Plaice </w:t>
            </w:r>
          </w:p>
          <w:p w:rsidR="001B0565" w:rsidRDefault="001B0565" w:rsidP="007326BB">
            <w:pPr>
              <w:rPr>
                <w:rFonts w:cs="Arial"/>
              </w:rPr>
            </w:pPr>
            <w:proofErr w:type="spellStart"/>
            <w:r>
              <w:rPr>
                <w:rFonts w:cs="Arial"/>
              </w:rPr>
              <w:t>VIIf</w:t>
            </w:r>
            <w:proofErr w:type="spellEnd"/>
            <w:r>
              <w:rPr>
                <w:rFonts w:cs="Arial"/>
              </w:rPr>
              <w:t>, g</w:t>
            </w:r>
          </w:p>
          <w:p w:rsidR="001B0565" w:rsidRPr="00470CE2" w:rsidRDefault="001B0565" w:rsidP="007326BB">
            <w:pPr>
              <w:rPr>
                <w:rFonts w:cs="Arial"/>
              </w:rPr>
            </w:pPr>
            <w:r>
              <w:rPr>
                <w:rFonts w:cs="Arial"/>
              </w:rPr>
              <w:t>Trammel nets</w:t>
            </w:r>
          </w:p>
        </w:tc>
        <w:tc>
          <w:tcPr>
            <w:tcW w:w="1606" w:type="dxa"/>
          </w:tcPr>
          <w:p w:rsidR="007326BB" w:rsidRPr="00470CE2" w:rsidRDefault="009A1BCA" w:rsidP="001B0565">
            <w:pPr>
              <w:rPr>
                <w:rFonts w:cs="Arial"/>
              </w:rPr>
            </w:pPr>
            <w:r>
              <w:rPr>
                <w:rFonts w:cs="Arial"/>
              </w:rPr>
              <w:t xml:space="preserve">Bycatch </w:t>
            </w:r>
          </w:p>
        </w:tc>
        <w:tc>
          <w:tcPr>
            <w:tcW w:w="1623" w:type="dxa"/>
          </w:tcPr>
          <w:p w:rsidR="00E432F8" w:rsidRPr="00E432F8" w:rsidRDefault="001C222F" w:rsidP="007326BB">
            <w:pPr>
              <w:rPr>
                <w:rFonts w:cs="Arial"/>
              </w:rPr>
            </w:pPr>
            <w:r>
              <w:rPr>
                <w:rFonts w:cs="Arial"/>
              </w:rPr>
              <w:t>7</w:t>
            </w:r>
          </w:p>
        </w:tc>
        <w:tc>
          <w:tcPr>
            <w:tcW w:w="1623" w:type="dxa"/>
          </w:tcPr>
          <w:p w:rsidR="002D67DF" w:rsidRPr="002D67DF" w:rsidRDefault="00050489" w:rsidP="002D67DF">
            <w:pPr>
              <w:rPr>
                <w:rFonts w:cs="Arial"/>
              </w:rPr>
            </w:pPr>
            <w:r>
              <w:rPr>
                <w:rFonts w:cs="Arial"/>
              </w:rPr>
              <w:t>0.18t</w:t>
            </w:r>
          </w:p>
        </w:tc>
        <w:tc>
          <w:tcPr>
            <w:tcW w:w="1623" w:type="dxa"/>
          </w:tcPr>
          <w:p w:rsidR="007326BB" w:rsidRDefault="00050489" w:rsidP="007326BB">
            <w:pPr>
              <w:rPr>
                <w:rFonts w:cs="Arial"/>
              </w:rPr>
            </w:pPr>
            <w:r w:rsidRPr="00050489">
              <w:rPr>
                <w:rFonts w:cs="Arial"/>
              </w:rPr>
              <w:t>No discard data</w:t>
            </w:r>
          </w:p>
          <w:p w:rsidR="00050489" w:rsidRPr="00050489" w:rsidRDefault="00050489" w:rsidP="007326BB">
            <w:pPr>
              <w:rPr>
                <w:rFonts w:cs="Arial"/>
              </w:rPr>
            </w:pPr>
            <w:r>
              <w:rPr>
                <w:rFonts w:cs="Arial"/>
              </w:rPr>
              <w:t>(22.86t based on area discard rate)</w:t>
            </w:r>
          </w:p>
        </w:tc>
        <w:tc>
          <w:tcPr>
            <w:tcW w:w="1484" w:type="dxa"/>
          </w:tcPr>
          <w:p w:rsidR="007326BB" w:rsidRPr="00050489" w:rsidRDefault="00DF7D7E" w:rsidP="00DF7D7E">
            <w:pPr>
              <w:rPr>
                <w:rFonts w:cs="Arial"/>
              </w:rPr>
            </w:pPr>
            <w:r>
              <w:rPr>
                <w:rFonts w:cs="Arial"/>
              </w:rPr>
              <w:t>23</w:t>
            </w:r>
            <w:r w:rsidR="00050489">
              <w:rPr>
                <w:rFonts w:cs="Arial"/>
              </w:rPr>
              <w:t>.</w:t>
            </w:r>
            <w:r>
              <w:rPr>
                <w:rFonts w:cs="Arial"/>
              </w:rPr>
              <w:t>02</w:t>
            </w:r>
            <w:r w:rsidR="00050489">
              <w:rPr>
                <w:rFonts w:cs="Arial"/>
              </w:rPr>
              <w:t>t</w:t>
            </w:r>
          </w:p>
        </w:tc>
        <w:tc>
          <w:tcPr>
            <w:tcW w:w="1842" w:type="dxa"/>
          </w:tcPr>
          <w:p w:rsidR="00D17373" w:rsidRDefault="00050489" w:rsidP="00050489">
            <w:pPr>
              <w:rPr>
                <w:rFonts w:cs="Arial"/>
              </w:rPr>
            </w:pPr>
            <w:r>
              <w:rPr>
                <w:rFonts w:cs="Arial"/>
              </w:rPr>
              <w:t xml:space="preserve">No discard data  </w:t>
            </w:r>
          </w:p>
          <w:p w:rsidR="00050489" w:rsidRDefault="00050489" w:rsidP="00050489">
            <w:pPr>
              <w:rPr>
                <w:rFonts w:cs="Arial"/>
              </w:rPr>
            </w:pPr>
            <w:r>
              <w:rPr>
                <w:rFonts w:cs="Arial"/>
              </w:rPr>
              <w:t xml:space="preserve">(73% for stock in </w:t>
            </w:r>
            <w:proofErr w:type="spellStart"/>
            <w:r>
              <w:rPr>
                <w:rFonts w:cs="Arial"/>
              </w:rPr>
              <w:t>VIIf</w:t>
            </w:r>
            <w:proofErr w:type="spellEnd"/>
            <w:r>
              <w:rPr>
                <w:rFonts w:cs="Arial"/>
              </w:rPr>
              <w:t xml:space="preserve">, g) </w:t>
            </w:r>
          </w:p>
          <w:p w:rsidR="00050489" w:rsidRPr="00D17373" w:rsidRDefault="00050489" w:rsidP="00050489">
            <w:pPr>
              <w:rPr>
                <w:rFonts w:cs="Arial"/>
              </w:rPr>
            </w:pPr>
          </w:p>
        </w:tc>
        <w:tc>
          <w:tcPr>
            <w:tcW w:w="1524" w:type="dxa"/>
          </w:tcPr>
          <w:p w:rsidR="003B016F" w:rsidRPr="003B016F" w:rsidRDefault="001B0565" w:rsidP="007326BB">
            <w:pPr>
              <w:rPr>
                <w:rFonts w:cs="Arial"/>
              </w:rPr>
            </w:pPr>
            <w:r>
              <w:rPr>
                <w:rFonts w:cs="Arial"/>
              </w:rPr>
              <w:t>49%</w:t>
            </w:r>
          </w:p>
        </w:tc>
      </w:tr>
      <w:tr w:rsidR="007326BB" w:rsidTr="00050489">
        <w:tc>
          <w:tcPr>
            <w:tcW w:w="1235" w:type="dxa"/>
          </w:tcPr>
          <w:p w:rsidR="007326BB" w:rsidRDefault="007326BB" w:rsidP="007326BB">
            <w:pPr>
              <w:rPr>
                <w:rFonts w:cs="Arial"/>
                <w:b/>
              </w:rPr>
            </w:pPr>
          </w:p>
        </w:tc>
        <w:tc>
          <w:tcPr>
            <w:tcW w:w="2000" w:type="dxa"/>
          </w:tcPr>
          <w:p w:rsidR="007326BB" w:rsidRDefault="007326BB" w:rsidP="007326BB">
            <w:pPr>
              <w:rPr>
                <w:rFonts w:cs="Arial"/>
                <w:b/>
              </w:rPr>
            </w:pPr>
          </w:p>
        </w:tc>
        <w:tc>
          <w:tcPr>
            <w:tcW w:w="1606" w:type="dxa"/>
          </w:tcPr>
          <w:p w:rsidR="007326BB" w:rsidRDefault="007326BB" w:rsidP="007326BB">
            <w:pPr>
              <w:rPr>
                <w:rFonts w:cs="Arial"/>
                <w:b/>
              </w:rPr>
            </w:pPr>
          </w:p>
        </w:tc>
        <w:tc>
          <w:tcPr>
            <w:tcW w:w="1623" w:type="dxa"/>
          </w:tcPr>
          <w:p w:rsidR="007326BB" w:rsidRDefault="007326BB" w:rsidP="007326BB">
            <w:pPr>
              <w:rPr>
                <w:rFonts w:cs="Arial"/>
                <w:b/>
              </w:rPr>
            </w:pPr>
          </w:p>
        </w:tc>
        <w:tc>
          <w:tcPr>
            <w:tcW w:w="1623" w:type="dxa"/>
          </w:tcPr>
          <w:p w:rsidR="007326BB" w:rsidRDefault="007326BB" w:rsidP="007326BB">
            <w:pPr>
              <w:rPr>
                <w:rFonts w:cs="Arial"/>
                <w:b/>
              </w:rPr>
            </w:pPr>
          </w:p>
        </w:tc>
        <w:tc>
          <w:tcPr>
            <w:tcW w:w="1623" w:type="dxa"/>
          </w:tcPr>
          <w:p w:rsidR="007326BB" w:rsidRDefault="007326BB" w:rsidP="007326BB">
            <w:pPr>
              <w:rPr>
                <w:rFonts w:cs="Arial"/>
                <w:b/>
              </w:rPr>
            </w:pPr>
          </w:p>
        </w:tc>
        <w:tc>
          <w:tcPr>
            <w:tcW w:w="1484" w:type="dxa"/>
          </w:tcPr>
          <w:p w:rsidR="007326BB" w:rsidRDefault="007326BB" w:rsidP="007326BB">
            <w:pPr>
              <w:rPr>
                <w:rFonts w:cs="Arial"/>
                <w:b/>
              </w:rPr>
            </w:pPr>
          </w:p>
        </w:tc>
        <w:tc>
          <w:tcPr>
            <w:tcW w:w="1842" w:type="dxa"/>
          </w:tcPr>
          <w:p w:rsidR="007326BB" w:rsidRDefault="007326BB" w:rsidP="007326BB">
            <w:pPr>
              <w:rPr>
                <w:rFonts w:cs="Arial"/>
                <w:b/>
              </w:rPr>
            </w:pPr>
          </w:p>
        </w:tc>
        <w:tc>
          <w:tcPr>
            <w:tcW w:w="1524" w:type="dxa"/>
          </w:tcPr>
          <w:p w:rsidR="007326BB" w:rsidRDefault="007326BB" w:rsidP="007326BB">
            <w:pPr>
              <w:rPr>
                <w:rFonts w:cs="Arial"/>
                <w:b/>
              </w:rPr>
            </w:pPr>
          </w:p>
        </w:tc>
      </w:tr>
    </w:tbl>
    <w:p w:rsidR="007326BB" w:rsidRDefault="007326BB" w:rsidP="007326BB">
      <w:pPr>
        <w:rPr>
          <w:rFonts w:cs="Arial"/>
          <w:b/>
        </w:rPr>
      </w:pPr>
    </w:p>
    <w:p w:rsidR="007326BB" w:rsidRDefault="007326BB" w:rsidP="007326BB">
      <w:pPr>
        <w:rPr>
          <w:rFonts w:cs="Arial"/>
          <w:b/>
        </w:rPr>
      </w:pPr>
    </w:p>
    <w:sectPr w:rsidR="007326BB" w:rsidSect="009A1BCA">
      <w:pgSz w:w="16838" w:h="11906" w:orient="landscape"/>
      <w:pgMar w:top="1134" w:right="1134" w:bottom="1134"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20A" w:rsidRDefault="0056420A" w:rsidP="008F75C1">
      <w:pPr>
        <w:spacing w:before="0" w:after="0" w:line="240" w:lineRule="auto"/>
      </w:pPr>
      <w:r>
        <w:separator/>
      </w:r>
    </w:p>
  </w:endnote>
  <w:endnote w:type="continuationSeparator" w:id="0">
    <w:p w:rsidR="0056420A" w:rsidRDefault="0056420A" w:rsidP="008F75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815949"/>
      <w:docPartObj>
        <w:docPartGallery w:val="Page Numbers (Bottom of Page)"/>
        <w:docPartUnique/>
      </w:docPartObj>
    </w:sdtPr>
    <w:sdtEndPr>
      <w:rPr>
        <w:noProof/>
      </w:rPr>
    </w:sdtEndPr>
    <w:sdtContent>
      <w:p w:rsidR="007326BB" w:rsidRDefault="007326BB">
        <w:pPr>
          <w:pStyle w:val="Footer"/>
          <w:jc w:val="center"/>
        </w:pPr>
        <w:r>
          <w:fldChar w:fldCharType="begin"/>
        </w:r>
        <w:r>
          <w:instrText xml:space="preserve"> PAGE   \* MERGEFORMAT </w:instrText>
        </w:r>
        <w:r>
          <w:fldChar w:fldCharType="separate"/>
        </w:r>
        <w:r w:rsidR="00684647">
          <w:rPr>
            <w:noProof/>
          </w:rPr>
          <w:t>7</w:t>
        </w:r>
        <w:r>
          <w:rPr>
            <w:noProof/>
          </w:rPr>
          <w:fldChar w:fldCharType="end"/>
        </w:r>
      </w:p>
    </w:sdtContent>
  </w:sdt>
  <w:p w:rsidR="007326BB" w:rsidRDefault="007326BB" w:rsidP="002A3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20A" w:rsidRDefault="0056420A" w:rsidP="008F75C1">
      <w:pPr>
        <w:spacing w:before="0" w:after="0" w:line="240" w:lineRule="auto"/>
      </w:pPr>
      <w:r>
        <w:separator/>
      </w:r>
    </w:p>
  </w:footnote>
  <w:footnote w:type="continuationSeparator" w:id="0">
    <w:p w:rsidR="0056420A" w:rsidRDefault="0056420A" w:rsidP="008F75C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BB" w:rsidRDefault="007326BB">
    <w:pPr>
      <w:pStyle w:val="Header"/>
    </w:pPr>
  </w:p>
  <w:p w:rsidR="007326BB" w:rsidRDefault="007326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E2D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AE8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88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E24C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EB5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AE14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4D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42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E03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105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74B42"/>
    <w:multiLevelType w:val="hybridMultilevel"/>
    <w:tmpl w:val="5DFAB472"/>
    <w:lvl w:ilvl="0" w:tplc="D1F8B3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C20AA"/>
    <w:multiLevelType w:val="hybridMultilevel"/>
    <w:tmpl w:val="7E02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8711E8"/>
    <w:multiLevelType w:val="hybridMultilevel"/>
    <w:tmpl w:val="294E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A9588E"/>
    <w:multiLevelType w:val="hybridMultilevel"/>
    <w:tmpl w:val="ADAAC184"/>
    <w:lvl w:ilvl="0" w:tplc="80F0D9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A95335"/>
    <w:multiLevelType w:val="hybridMultilevel"/>
    <w:tmpl w:val="5E4AAD4C"/>
    <w:lvl w:ilvl="0" w:tplc="C46AAAC2">
      <w:start w:val="1"/>
      <w:numFmt w:val="decimal"/>
      <w:lvlText w:val="(%1)"/>
      <w:lvlJc w:val="left"/>
      <w:pPr>
        <w:ind w:left="1080" w:hanging="360"/>
      </w:pPr>
      <w:rPr>
        <w:rFonts w:cs="Arial" w:hint="default"/>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7E5E88"/>
    <w:multiLevelType w:val="hybridMultilevel"/>
    <w:tmpl w:val="E0F4A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A3D3E"/>
    <w:multiLevelType w:val="hybridMultilevel"/>
    <w:tmpl w:val="9E720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753C"/>
    <w:multiLevelType w:val="hybridMultilevel"/>
    <w:tmpl w:val="CBDA1090"/>
    <w:lvl w:ilvl="0" w:tplc="631EF60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D4CE2"/>
    <w:multiLevelType w:val="hybridMultilevel"/>
    <w:tmpl w:val="0104759E"/>
    <w:lvl w:ilvl="0" w:tplc="B09020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5A10A7"/>
    <w:multiLevelType w:val="hybridMultilevel"/>
    <w:tmpl w:val="37EEFE36"/>
    <w:lvl w:ilvl="0" w:tplc="041627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C1757F"/>
    <w:multiLevelType w:val="hybridMultilevel"/>
    <w:tmpl w:val="9B28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7329A"/>
    <w:multiLevelType w:val="hybridMultilevel"/>
    <w:tmpl w:val="ED4C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F0FC2"/>
    <w:multiLevelType w:val="hybridMultilevel"/>
    <w:tmpl w:val="6330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13A27"/>
    <w:multiLevelType w:val="hybridMultilevel"/>
    <w:tmpl w:val="9D9E5C30"/>
    <w:lvl w:ilvl="0" w:tplc="8E32851E">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128BB"/>
    <w:multiLevelType w:val="hybridMultilevel"/>
    <w:tmpl w:val="9D9E5C30"/>
    <w:lvl w:ilvl="0" w:tplc="8E32851E">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9"/>
  </w:num>
  <w:num w:numId="14">
    <w:abstractNumId w:val="10"/>
  </w:num>
  <w:num w:numId="15">
    <w:abstractNumId w:val="13"/>
  </w:num>
  <w:num w:numId="16">
    <w:abstractNumId w:val="18"/>
  </w:num>
  <w:num w:numId="17">
    <w:abstractNumId w:val="16"/>
  </w:num>
  <w:num w:numId="18">
    <w:abstractNumId w:val="11"/>
  </w:num>
  <w:num w:numId="19">
    <w:abstractNumId w:val="24"/>
  </w:num>
  <w:num w:numId="20">
    <w:abstractNumId w:val="17"/>
  </w:num>
  <w:num w:numId="21">
    <w:abstractNumId w:val="22"/>
  </w:num>
  <w:num w:numId="22">
    <w:abstractNumId w:val="15"/>
  </w:num>
  <w:num w:numId="23">
    <w:abstractNumId w:val="23"/>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BC"/>
    <w:rsid w:val="000060BD"/>
    <w:rsid w:val="00012923"/>
    <w:rsid w:val="000170B9"/>
    <w:rsid w:val="00017C1F"/>
    <w:rsid w:val="00021969"/>
    <w:rsid w:val="00022CB4"/>
    <w:rsid w:val="00023CB1"/>
    <w:rsid w:val="000341BF"/>
    <w:rsid w:val="00035654"/>
    <w:rsid w:val="00050489"/>
    <w:rsid w:val="000611B8"/>
    <w:rsid w:val="00066937"/>
    <w:rsid w:val="00073AE6"/>
    <w:rsid w:val="00083C59"/>
    <w:rsid w:val="00085122"/>
    <w:rsid w:val="000857E1"/>
    <w:rsid w:val="0009370A"/>
    <w:rsid w:val="00094B54"/>
    <w:rsid w:val="000C2FDF"/>
    <w:rsid w:val="000C38DC"/>
    <w:rsid w:val="000D04EE"/>
    <w:rsid w:val="000D1049"/>
    <w:rsid w:val="000D2EDE"/>
    <w:rsid w:val="000D4C91"/>
    <w:rsid w:val="000E20D4"/>
    <w:rsid w:val="000F449F"/>
    <w:rsid w:val="001074C3"/>
    <w:rsid w:val="001163B8"/>
    <w:rsid w:val="0011732D"/>
    <w:rsid w:val="0012503A"/>
    <w:rsid w:val="0012676E"/>
    <w:rsid w:val="00130D72"/>
    <w:rsid w:val="00133B16"/>
    <w:rsid w:val="00136C7D"/>
    <w:rsid w:val="001415C9"/>
    <w:rsid w:val="001465C4"/>
    <w:rsid w:val="001505D9"/>
    <w:rsid w:val="00150FE1"/>
    <w:rsid w:val="00157435"/>
    <w:rsid w:val="001673F5"/>
    <w:rsid w:val="00167930"/>
    <w:rsid w:val="00171CA7"/>
    <w:rsid w:val="00172A78"/>
    <w:rsid w:val="00196B1C"/>
    <w:rsid w:val="001A3E9E"/>
    <w:rsid w:val="001B0565"/>
    <w:rsid w:val="001B1B96"/>
    <w:rsid w:val="001B2872"/>
    <w:rsid w:val="001B382E"/>
    <w:rsid w:val="001B6026"/>
    <w:rsid w:val="001B7DAC"/>
    <w:rsid w:val="001C222F"/>
    <w:rsid w:val="001C5D20"/>
    <w:rsid w:val="001E30E0"/>
    <w:rsid w:val="001F19BC"/>
    <w:rsid w:val="001F5A79"/>
    <w:rsid w:val="001F6B60"/>
    <w:rsid w:val="00205668"/>
    <w:rsid w:val="0021629E"/>
    <w:rsid w:val="00220F5D"/>
    <w:rsid w:val="002259C0"/>
    <w:rsid w:val="002419CA"/>
    <w:rsid w:val="00241C22"/>
    <w:rsid w:val="00254743"/>
    <w:rsid w:val="002564BF"/>
    <w:rsid w:val="00270078"/>
    <w:rsid w:val="00270D28"/>
    <w:rsid w:val="002761C8"/>
    <w:rsid w:val="00276621"/>
    <w:rsid w:val="002777EF"/>
    <w:rsid w:val="00280886"/>
    <w:rsid w:val="00281ABD"/>
    <w:rsid w:val="002838C6"/>
    <w:rsid w:val="0029180A"/>
    <w:rsid w:val="0029720C"/>
    <w:rsid w:val="002A3561"/>
    <w:rsid w:val="002C0121"/>
    <w:rsid w:val="002C01A4"/>
    <w:rsid w:val="002C512E"/>
    <w:rsid w:val="002D2E4A"/>
    <w:rsid w:val="002D2EAC"/>
    <w:rsid w:val="002D3375"/>
    <w:rsid w:val="002D518F"/>
    <w:rsid w:val="002D67DF"/>
    <w:rsid w:val="002E34FD"/>
    <w:rsid w:val="002E660A"/>
    <w:rsid w:val="002F0AB6"/>
    <w:rsid w:val="003046CA"/>
    <w:rsid w:val="00321BDD"/>
    <w:rsid w:val="00323F8E"/>
    <w:rsid w:val="003450AC"/>
    <w:rsid w:val="0034546C"/>
    <w:rsid w:val="00347737"/>
    <w:rsid w:val="00363478"/>
    <w:rsid w:val="003700CF"/>
    <w:rsid w:val="0038360D"/>
    <w:rsid w:val="003846BA"/>
    <w:rsid w:val="00387656"/>
    <w:rsid w:val="00390525"/>
    <w:rsid w:val="003939A6"/>
    <w:rsid w:val="003A0CB5"/>
    <w:rsid w:val="003A1BF8"/>
    <w:rsid w:val="003A3448"/>
    <w:rsid w:val="003A3BB7"/>
    <w:rsid w:val="003B016F"/>
    <w:rsid w:val="003C2EB0"/>
    <w:rsid w:val="003D390B"/>
    <w:rsid w:val="003E0342"/>
    <w:rsid w:val="003E118D"/>
    <w:rsid w:val="003E30A2"/>
    <w:rsid w:val="003E6901"/>
    <w:rsid w:val="00401240"/>
    <w:rsid w:val="004029F4"/>
    <w:rsid w:val="0040736E"/>
    <w:rsid w:val="00414904"/>
    <w:rsid w:val="0042032F"/>
    <w:rsid w:val="00423098"/>
    <w:rsid w:val="004446F5"/>
    <w:rsid w:val="0045752E"/>
    <w:rsid w:val="00461618"/>
    <w:rsid w:val="00461902"/>
    <w:rsid w:val="00462541"/>
    <w:rsid w:val="004654AE"/>
    <w:rsid w:val="00470CE2"/>
    <w:rsid w:val="00476002"/>
    <w:rsid w:val="00485503"/>
    <w:rsid w:val="00487D20"/>
    <w:rsid w:val="00492A9C"/>
    <w:rsid w:val="004A0C2C"/>
    <w:rsid w:val="004A470D"/>
    <w:rsid w:val="004A63B9"/>
    <w:rsid w:val="004B2A3A"/>
    <w:rsid w:val="004C1049"/>
    <w:rsid w:val="004C5090"/>
    <w:rsid w:val="004C6FD8"/>
    <w:rsid w:val="004C76BA"/>
    <w:rsid w:val="004D6225"/>
    <w:rsid w:val="004E5D8B"/>
    <w:rsid w:val="004E67ED"/>
    <w:rsid w:val="004F0442"/>
    <w:rsid w:val="004F0C1C"/>
    <w:rsid w:val="00505936"/>
    <w:rsid w:val="00507BBD"/>
    <w:rsid w:val="00510A7F"/>
    <w:rsid w:val="005115C4"/>
    <w:rsid w:val="005159F3"/>
    <w:rsid w:val="00517317"/>
    <w:rsid w:val="005210B3"/>
    <w:rsid w:val="0052399E"/>
    <w:rsid w:val="0052670F"/>
    <w:rsid w:val="005417A0"/>
    <w:rsid w:val="00542081"/>
    <w:rsid w:val="00553148"/>
    <w:rsid w:val="0056420A"/>
    <w:rsid w:val="00580DAC"/>
    <w:rsid w:val="005829C2"/>
    <w:rsid w:val="00586B9D"/>
    <w:rsid w:val="005872A3"/>
    <w:rsid w:val="005974DA"/>
    <w:rsid w:val="005A3AE4"/>
    <w:rsid w:val="005B5A97"/>
    <w:rsid w:val="005B7C14"/>
    <w:rsid w:val="005C6730"/>
    <w:rsid w:val="005D1342"/>
    <w:rsid w:val="005D6019"/>
    <w:rsid w:val="005D670C"/>
    <w:rsid w:val="006002DD"/>
    <w:rsid w:val="006032C0"/>
    <w:rsid w:val="006061DC"/>
    <w:rsid w:val="00606A66"/>
    <w:rsid w:val="00610BC5"/>
    <w:rsid w:val="006125BB"/>
    <w:rsid w:val="0061309D"/>
    <w:rsid w:val="00614959"/>
    <w:rsid w:val="00624AF6"/>
    <w:rsid w:val="00625F22"/>
    <w:rsid w:val="006315C8"/>
    <w:rsid w:val="00636594"/>
    <w:rsid w:val="006424BF"/>
    <w:rsid w:val="00642FF5"/>
    <w:rsid w:val="006557D6"/>
    <w:rsid w:val="00666038"/>
    <w:rsid w:val="00672232"/>
    <w:rsid w:val="00684647"/>
    <w:rsid w:val="00692F5B"/>
    <w:rsid w:val="00696FD3"/>
    <w:rsid w:val="006A1AE8"/>
    <w:rsid w:val="006B2597"/>
    <w:rsid w:val="006B466B"/>
    <w:rsid w:val="006B4841"/>
    <w:rsid w:val="006B50FC"/>
    <w:rsid w:val="006C7955"/>
    <w:rsid w:val="006D0EF2"/>
    <w:rsid w:val="006D5E5E"/>
    <w:rsid w:val="006E1FCD"/>
    <w:rsid w:val="006E401F"/>
    <w:rsid w:val="006F30A9"/>
    <w:rsid w:val="006F5EBD"/>
    <w:rsid w:val="006F636E"/>
    <w:rsid w:val="006F6B3F"/>
    <w:rsid w:val="006F7B80"/>
    <w:rsid w:val="0070362B"/>
    <w:rsid w:val="00705F18"/>
    <w:rsid w:val="0071201F"/>
    <w:rsid w:val="00720569"/>
    <w:rsid w:val="00720ED4"/>
    <w:rsid w:val="00724EB4"/>
    <w:rsid w:val="00726F97"/>
    <w:rsid w:val="007326BB"/>
    <w:rsid w:val="00734443"/>
    <w:rsid w:val="00744E44"/>
    <w:rsid w:val="00752AAA"/>
    <w:rsid w:val="00754B8B"/>
    <w:rsid w:val="00754D3B"/>
    <w:rsid w:val="00762167"/>
    <w:rsid w:val="00762C4E"/>
    <w:rsid w:val="007665C7"/>
    <w:rsid w:val="0076706F"/>
    <w:rsid w:val="0076742F"/>
    <w:rsid w:val="007818DB"/>
    <w:rsid w:val="00787D59"/>
    <w:rsid w:val="007A2007"/>
    <w:rsid w:val="007A3005"/>
    <w:rsid w:val="007A43C3"/>
    <w:rsid w:val="007B1F91"/>
    <w:rsid w:val="007C2038"/>
    <w:rsid w:val="007D266F"/>
    <w:rsid w:val="007D4E33"/>
    <w:rsid w:val="007E179C"/>
    <w:rsid w:val="007E4898"/>
    <w:rsid w:val="007E781F"/>
    <w:rsid w:val="00810663"/>
    <w:rsid w:val="00815AC9"/>
    <w:rsid w:val="00824331"/>
    <w:rsid w:val="00826E64"/>
    <w:rsid w:val="00835A45"/>
    <w:rsid w:val="00850133"/>
    <w:rsid w:val="00854B29"/>
    <w:rsid w:val="0086107E"/>
    <w:rsid w:val="00866032"/>
    <w:rsid w:val="0086795B"/>
    <w:rsid w:val="00874DE8"/>
    <w:rsid w:val="0088024E"/>
    <w:rsid w:val="008823BB"/>
    <w:rsid w:val="008A10CD"/>
    <w:rsid w:val="008A2304"/>
    <w:rsid w:val="008A3642"/>
    <w:rsid w:val="008A5A2B"/>
    <w:rsid w:val="008B3238"/>
    <w:rsid w:val="008B3718"/>
    <w:rsid w:val="008C2561"/>
    <w:rsid w:val="008C3A73"/>
    <w:rsid w:val="008D17D8"/>
    <w:rsid w:val="008D7BA9"/>
    <w:rsid w:val="008F1756"/>
    <w:rsid w:val="008F494B"/>
    <w:rsid w:val="008F4B7E"/>
    <w:rsid w:val="008F75C1"/>
    <w:rsid w:val="00900357"/>
    <w:rsid w:val="009012B5"/>
    <w:rsid w:val="00901A7A"/>
    <w:rsid w:val="009039F3"/>
    <w:rsid w:val="009146C9"/>
    <w:rsid w:val="00914D88"/>
    <w:rsid w:val="00927887"/>
    <w:rsid w:val="00930AD1"/>
    <w:rsid w:val="00942E84"/>
    <w:rsid w:val="00943887"/>
    <w:rsid w:val="0095313A"/>
    <w:rsid w:val="009537FB"/>
    <w:rsid w:val="009562A3"/>
    <w:rsid w:val="009567EF"/>
    <w:rsid w:val="00963467"/>
    <w:rsid w:val="00970531"/>
    <w:rsid w:val="00973490"/>
    <w:rsid w:val="0099226D"/>
    <w:rsid w:val="0099414F"/>
    <w:rsid w:val="009A1BCA"/>
    <w:rsid w:val="009A261C"/>
    <w:rsid w:val="009B05E6"/>
    <w:rsid w:val="009B14A0"/>
    <w:rsid w:val="009B2B88"/>
    <w:rsid w:val="009B4C64"/>
    <w:rsid w:val="009B6D8B"/>
    <w:rsid w:val="009B6E7A"/>
    <w:rsid w:val="009C0C43"/>
    <w:rsid w:val="009E073E"/>
    <w:rsid w:val="009F1098"/>
    <w:rsid w:val="00A074E7"/>
    <w:rsid w:val="00A10894"/>
    <w:rsid w:val="00A12EBD"/>
    <w:rsid w:val="00A13135"/>
    <w:rsid w:val="00A13958"/>
    <w:rsid w:val="00A157B4"/>
    <w:rsid w:val="00A27153"/>
    <w:rsid w:val="00A3096C"/>
    <w:rsid w:val="00A35B26"/>
    <w:rsid w:val="00A37F15"/>
    <w:rsid w:val="00A434D7"/>
    <w:rsid w:val="00A55006"/>
    <w:rsid w:val="00A603D2"/>
    <w:rsid w:val="00A73384"/>
    <w:rsid w:val="00A806C4"/>
    <w:rsid w:val="00A873A8"/>
    <w:rsid w:val="00A87686"/>
    <w:rsid w:val="00A87DE2"/>
    <w:rsid w:val="00A9026C"/>
    <w:rsid w:val="00AB2DE6"/>
    <w:rsid w:val="00AB327A"/>
    <w:rsid w:val="00AB7AC2"/>
    <w:rsid w:val="00AC1522"/>
    <w:rsid w:val="00AD0A13"/>
    <w:rsid w:val="00AD29B8"/>
    <w:rsid w:val="00AE0C4F"/>
    <w:rsid w:val="00AE1D4A"/>
    <w:rsid w:val="00AE79AF"/>
    <w:rsid w:val="00B05198"/>
    <w:rsid w:val="00B05DCF"/>
    <w:rsid w:val="00B16FCC"/>
    <w:rsid w:val="00B20BCD"/>
    <w:rsid w:val="00B21EB0"/>
    <w:rsid w:val="00B24E76"/>
    <w:rsid w:val="00B35B3A"/>
    <w:rsid w:val="00B36BDE"/>
    <w:rsid w:val="00B377EF"/>
    <w:rsid w:val="00B44FBD"/>
    <w:rsid w:val="00B45C76"/>
    <w:rsid w:val="00B5021A"/>
    <w:rsid w:val="00B55421"/>
    <w:rsid w:val="00B70AF5"/>
    <w:rsid w:val="00B74050"/>
    <w:rsid w:val="00B825C3"/>
    <w:rsid w:val="00B83E79"/>
    <w:rsid w:val="00B873E1"/>
    <w:rsid w:val="00B9329A"/>
    <w:rsid w:val="00B93ADF"/>
    <w:rsid w:val="00BA2393"/>
    <w:rsid w:val="00BA3810"/>
    <w:rsid w:val="00BA5594"/>
    <w:rsid w:val="00BB2225"/>
    <w:rsid w:val="00BB22C1"/>
    <w:rsid w:val="00BB4D2C"/>
    <w:rsid w:val="00BC1E71"/>
    <w:rsid w:val="00BC2898"/>
    <w:rsid w:val="00BC46EF"/>
    <w:rsid w:val="00BD3304"/>
    <w:rsid w:val="00BD6B21"/>
    <w:rsid w:val="00BD6B59"/>
    <w:rsid w:val="00BE0619"/>
    <w:rsid w:val="00C13E7B"/>
    <w:rsid w:val="00C15F04"/>
    <w:rsid w:val="00C16DAD"/>
    <w:rsid w:val="00C235FB"/>
    <w:rsid w:val="00C27825"/>
    <w:rsid w:val="00C30BA4"/>
    <w:rsid w:val="00C3725B"/>
    <w:rsid w:val="00C40255"/>
    <w:rsid w:val="00C47D18"/>
    <w:rsid w:val="00C541E0"/>
    <w:rsid w:val="00C57066"/>
    <w:rsid w:val="00C626F8"/>
    <w:rsid w:val="00C6585B"/>
    <w:rsid w:val="00C66D64"/>
    <w:rsid w:val="00C70DBE"/>
    <w:rsid w:val="00C71B5F"/>
    <w:rsid w:val="00C74B70"/>
    <w:rsid w:val="00C87984"/>
    <w:rsid w:val="00C9318E"/>
    <w:rsid w:val="00C95355"/>
    <w:rsid w:val="00C96D4D"/>
    <w:rsid w:val="00CA2617"/>
    <w:rsid w:val="00CA5AFA"/>
    <w:rsid w:val="00CA6905"/>
    <w:rsid w:val="00CB07E5"/>
    <w:rsid w:val="00CC2E9E"/>
    <w:rsid w:val="00CC67CA"/>
    <w:rsid w:val="00CE687E"/>
    <w:rsid w:val="00CF2611"/>
    <w:rsid w:val="00D03809"/>
    <w:rsid w:val="00D07B32"/>
    <w:rsid w:val="00D10B7F"/>
    <w:rsid w:val="00D159CE"/>
    <w:rsid w:val="00D1646F"/>
    <w:rsid w:val="00D17373"/>
    <w:rsid w:val="00D17E2E"/>
    <w:rsid w:val="00D258AF"/>
    <w:rsid w:val="00D36854"/>
    <w:rsid w:val="00D434DE"/>
    <w:rsid w:val="00D70CC6"/>
    <w:rsid w:val="00D761C7"/>
    <w:rsid w:val="00D8012F"/>
    <w:rsid w:val="00D859C1"/>
    <w:rsid w:val="00D863BC"/>
    <w:rsid w:val="00D95FCB"/>
    <w:rsid w:val="00D967B1"/>
    <w:rsid w:val="00DA063A"/>
    <w:rsid w:val="00DA2A67"/>
    <w:rsid w:val="00DB3916"/>
    <w:rsid w:val="00DC4542"/>
    <w:rsid w:val="00DC4822"/>
    <w:rsid w:val="00DD41D3"/>
    <w:rsid w:val="00DD70F0"/>
    <w:rsid w:val="00DE52D5"/>
    <w:rsid w:val="00DF0101"/>
    <w:rsid w:val="00DF3225"/>
    <w:rsid w:val="00DF3B2B"/>
    <w:rsid w:val="00DF7D7E"/>
    <w:rsid w:val="00DF7F10"/>
    <w:rsid w:val="00E10E99"/>
    <w:rsid w:val="00E114FC"/>
    <w:rsid w:val="00E13C03"/>
    <w:rsid w:val="00E27A88"/>
    <w:rsid w:val="00E31041"/>
    <w:rsid w:val="00E312D3"/>
    <w:rsid w:val="00E32948"/>
    <w:rsid w:val="00E34859"/>
    <w:rsid w:val="00E35915"/>
    <w:rsid w:val="00E432F8"/>
    <w:rsid w:val="00E47CB0"/>
    <w:rsid w:val="00E5538C"/>
    <w:rsid w:val="00E732D7"/>
    <w:rsid w:val="00E81841"/>
    <w:rsid w:val="00E906AD"/>
    <w:rsid w:val="00E956FE"/>
    <w:rsid w:val="00E963BE"/>
    <w:rsid w:val="00EB397D"/>
    <w:rsid w:val="00EC56DA"/>
    <w:rsid w:val="00ED106B"/>
    <w:rsid w:val="00ED4ED1"/>
    <w:rsid w:val="00EE0915"/>
    <w:rsid w:val="00EF2698"/>
    <w:rsid w:val="00F05025"/>
    <w:rsid w:val="00F22F4B"/>
    <w:rsid w:val="00F42D83"/>
    <w:rsid w:val="00F560DA"/>
    <w:rsid w:val="00F67A83"/>
    <w:rsid w:val="00F7232E"/>
    <w:rsid w:val="00F7626A"/>
    <w:rsid w:val="00F768DA"/>
    <w:rsid w:val="00F8427B"/>
    <w:rsid w:val="00FD02EF"/>
    <w:rsid w:val="00FD0831"/>
    <w:rsid w:val="00FD1E11"/>
    <w:rsid w:val="00FD25CF"/>
    <w:rsid w:val="00FD5BB9"/>
    <w:rsid w:val="00FE087F"/>
    <w:rsid w:val="00FE096E"/>
    <w:rsid w:val="00FF24B2"/>
    <w:rsid w:val="00FF4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40360FA-D12B-4FD8-BB23-5DCDB7B5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Calibri" w:hAnsi="Helvetic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958"/>
    <w:pPr>
      <w:spacing w:before="240" w:after="120" w:line="276" w:lineRule="auto"/>
    </w:pPr>
    <w:rPr>
      <w:rFonts w:ascii="Arial" w:hAnsi="Arial"/>
      <w:sz w:val="24"/>
      <w:szCs w:val="24"/>
      <w:lang w:eastAsia="en-US"/>
    </w:rPr>
  </w:style>
  <w:style w:type="paragraph" w:styleId="Heading1">
    <w:name w:val="heading 1"/>
    <w:basedOn w:val="Normal"/>
    <w:next w:val="Normal"/>
    <w:link w:val="Heading1Char"/>
    <w:uiPriority w:val="9"/>
    <w:qFormat/>
    <w:rsid w:val="00F560DA"/>
    <w:pPr>
      <w:keepNext/>
      <w:keepLines/>
      <w:widowControl w:val="0"/>
      <w:spacing w:before="600" w:line="240" w:lineRule="auto"/>
      <w:outlineLvl w:val="0"/>
    </w:pPr>
    <w:rPr>
      <w:rFonts w:eastAsia="Times New Roman"/>
      <w:b/>
      <w:bCs/>
      <w:color w:val="000000"/>
      <w:sz w:val="28"/>
      <w:szCs w:val="28"/>
    </w:rPr>
  </w:style>
  <w:style w:type="paragraph" w:styleId="Heading2">
    <w:name w:val="heading 2"/>
    <w:basedOn w:val="Normal"/>
    <w:next w:val="Normal"/>
    <w:link w:val="Heading2Char"/>
    <w:uiPriority w:val="9"/>
    <w:unhideWhenUsed/>
    <w:qFormat/>
    <w:rsid w:val="003A3448"/>
    <w:pPr>
      <w:keepNext/>
      <w:keepLines/>
      <w:widowControl w:val="0"/>
      <w:spacing w:before="200" w:line="240" w:lineRule="auto"/>
      <w:outlineLvl w:val="1"/>
    </w:pPr>
    <w:rPr>
      <w:rFonts w:eastAsia="Times New Roman"/>
      <w:b/>
      <w:bCs/>
      <w:color w:val="000000"/>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60DA"/>
    <w:rPr>
      <w:rFonts w:ascii="Arial" w:eastAsia="Times New Roman" w:hAnsi="Arial"/>
      <w:b/>
      <w:bCs/>
      <w:color w:val="000000"/>
      <w:sz w:val="28"/>
      <w:szCs w:val="28"/>
      <w:lang w:eastAsia="en-US"/>
    </w:rPr>
  </w:style>
  <w:style w:type="character" w:customStyle="1" w:styleId="Heading2Char">
    <w:name w:val="Heading 2 Char"/>
    <w:link w:val="Heading2"/>
    <w:uiPriority w:val="9"/>
    <w:rsid w:val="003A3448"/>
    <w:rPr>
      <w:rFonts w:ascii="Arial" w:eastAsia="Times New Roman" w:hAnsi="Arial"/>
      <w:b/>
      <w:bCs/>
      <w:color w:val="000000"/>
      <w:sz w:val="24"/>
      <w:szCs w:val="26"/>
      <w:lang w:eastAsia="en-US"/>
    </w:rPr>
  </w:style>
  <w:style w:type="paragraph" w:styleId="Title">
    <w:name w:val="Title"/>
    <w:basedOn w:val="Normal"/>
    <w:next w:val="Normal"/>
    <w:link w:val="TitleChar"/>
    <w:uiPriority w:val="10"/>
    <w:qFormat/>
    <w:rsid w:val="003450AC"/>
    <w:pPr>
      <w:widowControl w:val="0"/>
      <w:spacing w:before="0" w:line="240" w:lineRule="auto"/>
    </w:pPr>
    <w:rPr>
      <w:rFonts w:eastAsia="Times New Roman"/>
      <w:kern w:val="28"/>
      <w:sz w:val="40"/>
      <w:szCs w:val="52"/>
    </w:rPr>
  </w:style>
  <w:style w:type="character" w:customStyle="1" w:styleId="TitleChar">
    <w:name w:val="Title Char"/>
    <w:link w:val="Title"/>
    <w:uiPriority w:val="10"/>
    <w:rsid w:val="003450AC"/>
    <w:rPr>
      <w:rFonts w:eastAsia="Times New Roman" w:cs="Times New Roman"/>
      <w:kern w:val="28"/>
      <w:sz w:val="40"/>
      <w:szCs w:val="52"/>
      <w:lang w:eastAsia="en-GB"/>
    </w:rPr>
  </w:style>
  <w:style w:type="table" w:styleId="TableGrid">
    <w:name w:val="Table Grid"/>
    <w:basedOn w:val="TableNormal"/>
    <w:uiPriority w:val="59"/>
    <w:rsid w:val="008F4B7E"/>
    <w:pPr>
      <w:spacing w:before="60" w:after="80"/>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Spacing">
    <w:name w:val="No Spacing"/>
    <w:uiPriority w:val="1"/>
    <w:rsid w:val="009C0C43"/>
    <w:rPr>
      <w:rFonts w:eastAsia="Times New Roman"/>
      <w:sz w:val="24"/>
      <w:szCs w:val="22"/>
    </w:rPr>
  </w:style>
  <w:style w:type="character" w:customStyle="1" w:styleId="Heading3Char">
    <w:name w:val="Heading 3 Char"/>
    <w:link w:val="Heading3"/>
    <w:uiPriority w:val="9"/>
    <w:rsid w:val="005B5A97"/>
    <w:rPr>
      <w:rFonts w:eastAsia="Times New Roman" w:cs="Times New Roman"/>
      <w:b/>
      <w:bCs/>
      <w:color w:val="000000"/>
      <w:szCs w:val="22"/>
      <w:lang w:eastAsia="en-GB"/>
    </w:rPr>
  </w:style>
  <w:style w:type="character" w:customStyle="1" w:styleId="Heading4Char">
    <w:name w:val="Heading 4 Char"/>
    <w:link w:val="Heading4"/>
    <w:uiPriority w:val="9"/>
    <w:rsid w:val="00CE687E"/>
    <w:rPr>
      <w:rFonts w:eastAsia="Times New Roman" w:cs="Times New Roman"/>
      <w:b/>
      <w:bCs/>
      <w:i/>
      <w:iCs/>
      <w:color w:val="000000"/>
      <w:szCs w:val="22"/>
      <w:lang w:eastAsia="en-GB"/>
    </w:rPr>
  </w:style>
  <w:style w:type="paragraph" w:styleId="EndnoteText">
    <w:name w:val="endnote text"/>
    <w:basedOn w:val="Normal"/>
    <w:link w:val="EndnoteTextChar"/>
    <w:uiPriority w:val="99"/>
    <w:semiHidden/>
    <w:unhideWhenUsed/>
    <w:rsid w:val="008F75C1"/>
    <w:rPr>
      <w:sz w:val="20"/>
      <w:szCs w:val="20"/>
    </w:rPr>
  </w:style>
  <w:style w:type="character" w:customStyle="1" w:styleId="EndnoteTextChar">
    <w:name w:val="Endnote Text Char"/>
    <w:basedOn w:val="DefaultParagraphFont"/>
    <w:link w:val="EndnoteText"/>
    <w:uiPriority w:val="99"/>
    <w:semiHidden/>
    <w:rsid w:val="008F75C1"/>
    <w:rPr>
      <w:rFonts w:ascii="Arial" w:hAnsi="Arial"/>
      <w:lang w:eastAsia="en-US"/>
    </w:rPr>
  </w:style>
  <w:style w:type="character" w:styleId="EndnoteReference">
    <w:name w:val="endnote reference"/>
    <w:basedOn w:val="DefaultParagraphFont"/>
    <w:uiPriority w:val="99"/>
    <w:semiHidden/>
    <w:unhideWhenUsed/>
    <w:rsid w:val="008F75C1"/>
    <w:rPr>
      <w:vertAlign w:val="superscript"/>
    </w:rPr>
  </w:style>
  <w:style w:type="paragraph" w:styleId="FootnoteText">
    <w:name w:val="footnote text"/>
    <w:basedOn w:val="Normal"/>
    <w:link w:val="FootnoteTextChar"/>
    <w:uiPriority w:val="99"/>
    <w:semiHidden/>
    <w:unhideWhenUsed/>
    <w:rsid w:val="008F494B"/>
    <w:rPr>
      <w:sz w:val="20"/>
      <w:szCs w:val="20"/>
    </w:rPr>
  </w:style>
  <w:style w:type="character" w:customStyle="1" w:styleId="FootnoteTextChar">
    <w:name w:val="Footnote Text Char"/>
    <w:basedOn w:val="DefaultParagraphFont"/>
    <w:link w:val="FootnoteText"/>
    <w:uiPriority w:val="99"/>
    <w:semiHidden/>
    <w:rsid w:val="008F494B"/>
    <w:rPr>
      <w:rFonts w:ascii="Arial" w:hAnsi="Arial"/>
      <w:lang w:eastAsia="en-US"/>
    </w:rPr>
  </w:style>
  <w:style w:type="character" w:styleId="FootnoteReference">
    <w:name w:val="footnote reference"/>
    <w:basedOn w:val="DefaultParagraphFont"/>
    <w:uiPriority w:val="99"/>
    <w:semiHidden/>
    <w:unhideWhenUsed/>
    <w:rsid w:val="008F494B"/>
    <w:rPr>
      <w:vertAlign w:val="superscript"/>
    </w:rPr>
  </w:style>
  <w:style w:type="paragraph" w:styleId="BalloonText">
    <w:name w:val="Balloon Text"/>
    <w:basedOn w:val="Normal"/>
    <w:link w:val="BalloonTextChar"/>
    <w:uiPriority w:val="99"/>
    <w:semiHidden/>
    <w:unhideWhenUsed/>
    <w:rsid w:val="006A1AE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AE8"/>
    <w:rPr>
      <w:rFonts w:ascii="Tahoma" w:hAnsi="Tahoma" w:cs="Tahoma"/>
      <w:sz w:val="16"/>
      <w:szCs w:val="16"/>
      <w:lang w:eastAsia="en-US"/>
    </w:rPr>
  </w:style>
  <w:style w:type="paragraph" w:styleId="Bibliography">
    <w:name w:val="Bibliography"/>
    <w:basedOn w:val="Normal"/>
    <w:next w:val="Normal"/>
    <w:uiPriority w:val="37"/>
    <w:unhideWhenUsed/>
    <w:rsid w:val="005159F3"/>
  </w:style>
  <w:style w:type="character" w:styleId="CommentReference">
    <w:name w:val="annotation reference"/>
    <w:basedOn w:val="DefaultParagraphFont"/>
    <w:uiPriority w:val="99"/>
    <w:semiHidden/>
    <w:unhideWhenUsed/>
    <w:rsid w:val="007A2007"/>
    <w:rPr>
      <w:sz w:val="16"/>
      <w:szCs w:val="16"/>
    </w:rPr>
  </w:style>
  <w:style w:type="paragraph" w:styleId="CommentText">
    <w:name w:val="annotation text"/>
    <w:basedOn w:val="Normal"/>
    <w:link w:val="CommentTextChar"/>
    <w:uiPriority w:val="99"/>
    <w:unhideWhenUsed/>
    <w:rsid w:val="007A2007"/>
    <w:pPr>
      <w:spacing w:line="240" w:lineRule="auto"/>
    </w:pPr>
    <w:rPr>
      <w:sz w:val="20"/>
      <w:szCs w:val="20"/>
    </w:rPr>
  </w:style>
  <w:style w:type="character" w:customStyle="1" w:styleId="CommentTextChar">
    <w:name w:val="Comment Text Char"/>
    <w:basedOn w:val="DefaultParagraphFont"/>
    <w:link w:val="CommentText"/>
    <w:uiPriority w:val="99"/>
    <w:rsid w:val="007A200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A2007"/>
    <w:rPr>
      <w:b/>
      <w:bCs/>
    </w:rPr>
  </w:style>
  <w:style w:type="character" w:customStyle="1" w:styleId="CommentSubjectChar">
    <w:name w:val="Comment Subject Char"/>
    <w:basedOn w:val="CommentTextChar"/>
    <w:link w:val="CommentSubject"/>
    <w:uiPriority w:val="99"/>
    <w:semiHidden/>
    <w:rsid w:val="007A2007"/>
    <w:rPr>
      <w:rFonts w:ascii="Arial" w:hAnsi="Arial"/>
      <w:b/>
      <w:bCs/>
      <w:lang w:eastAsia="en-US"/>
    </w:rPr>
  </w:style>
  <w:style w:type="paragraph" w:styleId="Caption">
    <w:name w:val="caption"/>
    <w:basedOn w:val="Normal"/>
    <w:next w:val="Normal"/>
    <w:link w:val="CaptionChar"/>
    <w:unhideWhenUsed/>
    <w:qFormat/>
    <w:rsid w:val="00FE087F"/>
    <w:pPr>
      <w:spacing w:before="0" w:after="200" w:line="240" w:lineRule="auto"/>
    </w:pPr>
    <w:rPr>
      <w:b/>
      <w:bCs/>
      <w:color w:val="4F81BD" w:themeColor="accent1"/>
      <w:sz w:val="18"/>
      <w:szCs w:val="18"/>
    </w:rPr>
  </w:style>
  <w:style w:type="character" w:styleId="Hyperlink">
    <w:name w:val="Hyperlink"/>
    <w:basedOn w:val="DefaultParagraphFont"/>
    <w:uiPriority w:val="99"/>
    <w:unhideWhenUsed/>
    <w:rsid w:val="003E118D"/>
    <w:rPr>
      <w:color w:val="0000FF" w:themeColor="hyperlink"/>
      <w:u w:val="single"/>
    </w:rPr>
  </w:style>
  <w:style w:type="paragraph" w:styleId="ListParagraph">
    <w:name w:val="List Paragraph"/>
    <w:basedOn w:val="Normal"/>
    <w:uiPriority w:val="34"/>
    <w:rsid w:val="00476002"/>
    <w:pPr>
      <w:ind w:left="720"/>
      <w:contextualSpacing/>
    </w:pPr>
  </w:style>
  <w:style w:type="paragraph" w:styleId="NormalWeb">
    <w:name w:val="Normal (Web)"/>
    <w:basedOn w:val="Normal"/>
    <w:uiPriority w:val="99"/>
    <w:semiHidden/>
    <w:unhideWhenUsed/>
    <w:rsid w:val="00C235FB"/>
    <w:pPr>
      <w:spacing w:before="100" w:beforeAutospacing="1" w:after="100" w:afterAutospacing="1" w:line="240" w:lineRule="auto"/>
    </w:pPr>
    <w:rPr>
      <w:rFonts w:ascii="Times New Roman" w:eastAsia="Times New Roman" w:hAnsi="Times New Roman"/>
      <w:lang w:eastAsia="en-GB"/>
    </w:rPr>
  </w:style>
  <w:style w:type="character" w:styleId="Emphasis">
    <w:name w:val="Emphasis"/>
    <w:basedOn w:val="DefaultParagraphFont"/>
    <w:uiPriority w:val="20"/>
    <w:qFormat/>
    <w:rsid w:val="00C235FB"/>
    <w:rPr>
      <w:i/>
      <w:iCs/>
    </w:rPr>
  </w:style>
  <w:style w:type="character" w:customStyle="1" w:styleId="st1">
    <w:name w:val="st1"/>
    <w:basedOn w:val="DefaultParagraphFont"/>
    <w:rsid w:val="008A5A2B"/>
  </w:style>
  <w:style w:type="character" w:styleId="FollowedHyperlink">
    <w:name w:val="FollowedHyperlink"/>
    <w:basedOn w:val="DefaultParagraphFont"/>
    <w:uiPriority w:val="99"/>
    <w:semiHidden/>
    <w:unhideWhenUsed/>
    <w:rsid w:val="00D17E2E"/>
    <w:rPr>
      <w:color w:val="800080" w:themeColor="followedHyperlink"/>
      <w:u w:val="single"/>
    </w:rPr>
  </w:style>
  <w:style w:type="paragraph" w:styleId="Revision">
    <w:name w:val="Revision"/>
    <w:hidden/>
    <w:uiPriority w:val="99"/>
    <w:semiHidden/>
    <w:rsid w:val="006F636E"/>
    <w:rPr>
      <w:rFonts w:ascii="Arial" w:hAnsi="Arial"/>
      <w:sz w:val="24"/>
      <w:szCs w:val="24"/>
      <w:lang w:eastAsia="en-US"/>
    </w:rPr>
  </w:style>
  <w:style w:type="paragraph" w:styleId="Header">
    <w:name w:val="header"/>
    <w:basedOn w:val="Normal"/>
    <w:link w:val="HeaderChar"/>
    <w:uiPriority w:val="99"/>
    <w:unhideWhenUsed/>
    <w:rsid w:val="00744E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4E44"/>
    <w:rPr>
      <w:rFonts w:ascii="Arial" w:hAnsi="Arial"/>
      <w:sz w:val="24"/>
      <w:szCs w:val="24"/>
      <w:lang w:eastAsia="en-US"/>
    </w:rPr>
  </w:style>
  <w:style w:type="paragraph" w:styleId="Footer">
    <w:name w:val="footer"/>
    <w:basedOn w:val="Normal"/>
    <w:link w:val="FooterChar"/>
    <w:uiPriority w:val="99"/>
    <w:unhideWhenUsed/>
    <w:rsid w:val="00744E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4E44"/>
    <w:rPr>
      <w:rFonts w:ascii="Arial" w:hAnsi="Arial"/>
      <w:sz w:val="24"/>
      <w:szCs w:val="24"/>
      <w:lang w:eastAsia="en-US"/>
    </w:rPr>
  </w:style>
  <w:style w:type="table" w:customStyle="1" w:styleId="GridTable5Dark-Accent51">
    <w:name w:val="Grid Table 5 Dark - Accent 51"/>
    <w:basedOn w:val="TableNormal"/>
    <w:uiPriority w:val="50"/>
    <w:rsid w:val="00542081"/>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CefasSub-headingChar">
    <w:name w:val="Cefas Sub-heading Char"/>
    <w:basedOn w:val="DefaultParagraphFont"/>
    <w:link w:val="CefasSub-heading"/>
    <w:locked/>
    <w:rsid w:val="00606A66"/>
    <w:rPr>
      <w:rFonts w:ascii="Calibri" w:hAnsi="Calibri" w:cstheme="minorHAnsi"/>
      <w:bCs/>
      <w:color w:val="004C6F"/>
      <w:sz w:val="28"/>
      <w:szCs w:val="28"/>
    </w:rPr>
  </w:style>
  <w:style w:type="paragraph" w:customStyle="1" w:styleId="CefasSub-heading">
    <w:name w:val="Cefas Sub-heading"/>
    <w:basedOn w:val="Normal"/>
    <w:link w:val="CefasSub-headingChar"/>
    <w:qFormat/>
    <w:rsid w:val="00606A66"/>
    <w:pPr>
      <w:spacing w:before="0" w:after="200"/>
    </w:pPr>
    <w:rPr>
      <w:rFonts w:ascii="Calibri" w:hAnsi="Calibri" w:cstheme="minorHAnsi"/>
      <w:bCs/>
      <w:color w:val="004C6F"/>
      <w:sz w:val="28"/>
      <w:szCs w:val="28"/>
      <w:lang w:eastAsia="en-GB"/>
    </w:rPr>
  </w:style>
  <w:style w:type="paragraph" w:customStyle="1" w:styleId="Default">
    <w:name w:val="Default"/>
    <w:rsid w:val="00606A66"/>
    <w:pPr>
      <w:autoSpaceDE w:val="0"/>
      <w:autoSpaceDN w:val="0"/>
      <w:adjustRightInd w:val="0"/>
    </w:pPr>
    <w:rPr>
      <w:rFonts w:ascii="Calibri" w:hAnsi="Calibri" w:cs="Calibri"/>
      <w:color w:val="000000"/>
      <w:sz w:val="24"/>
      <w:szCs w:val="24"/>
    </w:rPr>
  </w:style>
  <w:style w:type="character" w:customStyle="1" w:styleId="CaptionChar">
    <w:name w:val="Caption Char"/>
    <w:basedOn w:val="DefaultParagraphFont"/>
    <w:link w:val="Caption"/>
    <w:locked/>
    <w:rsid w:val="009A261C"/>
    <w:rPr>
      <w:rFonts w:ascii="Arial" w:hAnsi="Arial"/>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672774">
      <w:bodyDiv w:val="1"/>
      <w:marLeft w:val="0"/>
      <w:marRight w:val="0"/>
      <w:marTop w:val="0"/>
      <w:marBottom w:val="0"/>
      <w:divBdr>
        <w:top w:val="none" w:sz="0" w:space="0" w:color="auto"/>
        <w:left w:val="none" w:sz="0" w:space="0" w:color="auto"/>
        <w:bottom w:val="none" w:sz="0" w:space="0" w:color="auto"/>
        <w:right w:val="none" w:sz="0" w:space="0" w:color="auto"/>
      </w:divBdr>
      <w:divsChild>
        <w:div w:id="466436218">
          <w:marLeft w:val="0"/>
          <w:marRight w:val="0"/>
          <w:marTop w:val="0"/>
          <w:marBottom w:val="0"/>
          <w:divBdr>
            <w:top w:val="none" w:sz="0" w:space="0" w:color="auto"/>
            <w:left w:val="none" w:sz="0" w:space="0" w:color="auto"/>
            <w:bottom w:val="none" w:sz="0" w:space="0" w:color="auto"/>
            <w:right w:val="none" w:sz="0" w:space="0" w:color="auto"/>
          </w:divBdr>
          <w:divsChild>
            <w:div w:id="1524057540">
              <w:marLeft w:val="0"/>
              <w:marRight w:val="0"/>
              <w:marTop w:val="0"/>
              <w:marBottom w:val="0"/>
              <w:divBdr>
                <w:top w:val="none" w:sz="0" w:space="0" w:color="auto"/>
                <w:left w:val="none" w:sz="0" w:space="0" w:color="auto"/>
                <w:bottom w:val="none" w:sz="0" w:space="0" w:color="auto"/>
                <w:right w:val="none" w:sz="0" w:space="0" w:color="auto"/>
              </w:divBdr>
              <w:divsChild>
                <w:div w:id="13100889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58698244">
      <w:bodyDiv w:val="1"/>
      <w:marLeft w:val="0"/>
      <w:marRight w:val="0"/>
      <w:marTop w:val="0"/>
      <w:marBottom w:val="0"/>
      <w:divBdr>
        <w:top w:val="none" w:sz="0" w:space="0" w:color="auto"/>
        <w:left w:val="none" w:sz="0" w:space="0" w:color="auto"/>
        <w:bottom w:val="none" w:sz="0" w:space="0" w:color="auto"/>
        <w:right w:val="none" w:sz="0" w:space="0" w:color="auto"/>
      </w:divBdr>
    </w:div>
    <w:div w:id="1412851099">
      <w:bodyDiv w:val="1"/>
      <w:marLeft w:val="0"/>
      <w:marRight w:val="0"/>
      <w:marTop w:val="0"/>
      <w:marBottom w:val="0"/>
      <w:divBdr>
        <w:top w:val="none" w:sz="0" w:space="0" w:color="auto"/>
        <w:left w:val="none" w:sz="0" w:space="0" w:color="auto"/>
        <w:bottom w:val="none" w:sz="0" w:space="0" w:color="auto"/>
        <w:right w:val="none" w:sz="0" w:space="0" w:color="auto"/>
      </w:divBdr>
    </w:div>
    <w:div w:id="1885866110">
      <w:bodyDiv w:val="1"/>
      <w:marLeft w:val="0"/>
      <w:marRight w:val="0"/>
      <w:marTop w:val="0"/>
      <w:marBottom w:val="0"/>
      <w:divBdr>
        <w:top w:val="none" w:sz="0" w:space="0" w:color="auto"/>
        <w:left w:val="none" w:sz="0" w:space="0" w:color="auto"/>
        <w:bottom w:val="none" w:sz="0" w:space="0" w:color="auto"/>
        <w:right w:val="none" w:sz="0" w:space="0" w:color="auto"/>
      </w:divBdr>
    </w:div>
    <w:div w:id="1940524731">
      <w:bodyDiv w:val="1"/>
      <w:marLeft w:val="0"/>
      <w:marRight w:val="0"/>
      <w:marTop w:val="0"/>
      <w:marBottom w:val="0"/>
      <w:divBdr>
        <w:top w:val="none" w:sz="0" w:space="0" w:color="auto"/>
        <w:left w:val="none" w:sz="0" w:space="0" w:color="auto"/>
        <w:bottom w:val="none" w:sz="0" w:space="0" w:color="auto"/>
        <w:right w:val="none" w:sz="0" w:space="0" w:color="auto"/>
      </w:divBdr>
    </w:div>
    <w:div w:id="2104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image001.jpg@01D3E0A3.4486757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MMO14</b:Tag>
    <b:SourceType>Report</b:SourceType>
    <b:Guid>{509F348E-6342-485E-8CF1-F9E60D2377AA}</b:Guid>
    <b:Title>UK Sea Fisheries Statistics 2014</b:Title>
    <b:Year>2014</b:Year>
    <b:Author>
      <b:Author>
        <b:Corporate>Marine Management Organisation (MMO)</b:Corporate>
      </b:Author>
    </b:Author>
    <b:RefOrder>2</b:RefOrder>
  </b:Source>
  <b:Source>
    <b:Tag>Ana16</b:Tag>
    <b:SourceType>Report</b:SourceType>
    <b:Guid>{DF5C7919-8C94-499E-8707-293F39A43DCC}</b:Guid>
    <b:Author>
      <b:Author>
        <b:NameList>
          <b:Person>
            <b:Last>Santos</b:Last>
            <b:First>Ana</b:First>
            <b:Middle>Ribeiro</b:Middle>
          </b:Person>
          <b:Person>
            <b:Last>Duggan</b:Last>
            <b:First>Kevin</b:First>
          </b:Person>
          <b:Person>
            <b:Last>Catchpole</b:Last>
            <b:First>Thomas</b:First>
          </b:Person>
        </b:NameList>
      </b:Author>
    </b:Author>
    <b:Title>Estimating the discard survival rates of Common sole (Solea solea) in the English east coast inshore otter trawl fishery</b:Title>
    <b:Year>2016</b:Year>
    <b:Publisher>Cefas</b:Publisher>
    <b:RefOrder>1</b:RefOrder>
  </b:Source>
  <b:Source>
    <b:Tag>CFP</b:Tag>
    <b:SourceType>JournalArticle</b:SourceType>
    <b:Guid>{C672744D-1CEE-4E7E-AE48-5D8D8FA00093}</b:Guid>
    <b:Title>Regulation (EU) No 1380/2013 of the European Parliament and of the Council of 11 December 2013 on the Common Fisheries Policy</b:Title>
    <b:Year>2013</b:Year>
    <b:JournalName>Official Journal of the European Union</b:JournalName>
    <b:Pages>22-60</b:Pages>
    <b:Issue>354</b:Issue>
    <b:RefOrder>3</b:RefOrder>
  </b:Source>
  <b:Source>
    <b:Tag>ICE15</b:Tag>
    <b:SourceType>BookSection</b:SourceType>
    <b:Guid>{21689476-80D1-4BE3-B4EC-FF2F2B5C88CB}</b:Guid>
    <b:Title>Section 3.46: Sole (Solea solea) in Subarea IV (North Sea) (update)</b:Title>
    <b:Year>2015</b:Year>
    <b:Author>
      <b:Author>
        <b:Corporate>ICES</b:Corporate>
      </b:Author>
    </b:Author>
    <b:JournalName>ICES Advice on Fishing Opportunities, Catch and Effort: Greater North Sea Ecoregion</b:JournalName>
    <b:BookTitle>ICES Advice 2015, Book 6 - The Greater North Sea Ecoregion</b:BookTitle>
    <b:RefOrder>4</b:RefOrder>
  </b:Source>
  <b:Source>
    <b:Tag>ICE151</b:Tag>
    <b:SourceType>BookSection</b:SourceType>
    <b:Guid>{CFF913B6-FE4E-4177-84DD-9FB984EAF773}</b:Guid>
    <b:Author>
      <b:Author>
        <b:Corporate>ICES</b:Corporate>
      </b:Author>
    </b:Author>
    <b:Title>Section 3.44: Sole (Solea solea) in Division VIId (Eastern English Channel)</b:Title>
    <b:BookTitle>ICES Advice 2015, Book 6 - The Greater North Sea Ecoregion</b:BookTitle>
    <b:Year>2015</b:Year>
    <b:RefOrder>5</b:RefOrder>
  </b:Source>
  <b:Source>
    <b:Tag>Sea</b:Tag>
    <b:SourceType>InternetSite</b:SourceType>
    <b:Guid>{7890A134-870B-4813-89E9-42B936B87057}</b:Guid>
    <b:Title>Multi Rig Trawl - Sole triple rig</b:Title>
    <b:Author>
      <b:Author>
        <b:Corporate>Seafish</b:Corporate>
      </b:Author>
    </b:Author>
    <b:URL>http://www.seafish.org/geardb/gear/multi-rig-trawl-sole-triple-rig/</b:URL>
    <b:RefOrder>6</b:RefOrder>
  </b:Source>
  <b:Source>
    <b:Tag>Kou06</b:Tag>
    <b:SourceType>JournalArticle</b:SourceType>
    <b:Guid>{C5A3655C-5B1C-490C-B493-15DDA3F97EF5}</b:Guid>
    <b:Author>
      <b:Author>
        <b:NameList>
          <b:Person>
            <b:Last>Philippe</b:Last>
            <b:First>Koubbi</b:First>
          </b:Person>
          <b:Person>
            <b:Last>Christophe</b:Last>
            <b:First>Loots</b:First>
          </b:Person>
          <b:Person>
            <b:Last>Gwenaelle</b:Last>
            <b:First>Cotonnec</b:First>
          </b:Person>
          <b:Person>
            <b:Last>Xavier</b:Last>
            <b:First>Harlay</b:First>
          </b:Person>
          <b:Person>
            <b:Last>Alain</b:Last>
            <b:First>Grioche</b:First>
          </b:Person>
          <b:Person>
            <b:Last>Sandrine</b:Last>
            <b:First>Vaz</b:First>
          </b:Person>
          <b:Person>
            <b:Last>Corrine</b:Last>
            <b:First>Martin</b:First>
          </b:Person>
          <b:Person>
            <b:Last>Mike</b:Last>
            <b:First>Walkey</b:First>
          </b:Person>
          <b:Person>
            <b:Last>Andre</b:Last>
            <b:First>Carpentier</b:First>
          </b:Person>
        </b:NameList>
      </b:Author>
    </b:Author>
    <b:Title>Spatial patterns and GIS habitat modelling of Solea solea, Pleuronectes flesus and Limanda limanda fish larvae in the eastern English Channel during the spring</b:Title>
    <b:Year>2006</b:Year>
    <b:JournalName>Scientia Marina</b:JournalName>
    <b:Pages>147-157</b:Pages>
    <b:RefOrder>7</b:RefOrder>
  </b:Source>
  <b:Source>
    <b:Tag>Ell12</b:Tag>
    <b:SourceType>Report</b:SourceType>
    <b:Guid>{ADA9631F-249E-41FF-9D15-4D329E7E47D7}</b:Guid>
    <b:Author>
      <b:Author>
        <b:NameList>
          <b:Person>
            <b:Last>Ellis</b:Last>
            <b:First>J.R.</b:First>
          </b:Person>
          <b:Person>
            <b:Last>Milligan</b:Last>
            <b:First>S.P.</b:First>
          </b:Person>
          <b:Person>
            <b:Last>Readdy</b:Last>
            <b:First>L.</b:First>
          </b:Person>
          <b:Person>
            <b:Last>Taylor</b:Last>
            <b:First>N.</b:First>
          </b:Person>
          <b:Person>
            <b:Last>Brown</b:Last>
            <b:First>M.J.</b:First>
          </b:Person>
        </b:NameList>
      </b:Author>
    </b:Author>
    <b:Title>Spawning and nursery grounds of selected fish species in UK waters</b:Title>
    <b:Year>2012</b:Year>
    <b:Publisher>Cefas</b:Publisher>
    <b:City>Lowestoft</b:City>
    <b:RefOrder>8</b:RefOrder>
  </b:Source>
  <b:Source>
    <b:Tag>Cou98</b:Tag>
    <b:SourceType>Report</b:SourceType>
    <b:Guid>{39AD3F70-B598-4166-BCEC-50E211CE0AA3}</b:Guid>
    <b:Title>Fisheries Sensitivity Maps in British Waters</b:Title>
    <b:Year>1998</b:Year>
    <b:Author>
      <b:Author>
        <b:NameList>
          <b:Person>
            <b:Last>Coull</b:Last>
            <b:First>K.A.</b:First>
          </b:Person>
          <b:Person>
            <b:Last>Johnstone</b:Last>
            <b:First>R.</b:First>
          </b:Person>
          <b:Person>
            <b:Last>Rogers</b:Last>
            <b:First>S.I.</b:First>
          </b:Person>
        </b:NameList>
      </b:Author>
    </b:Author>
    <b:Publisher>UKOOA Ltd</b:Publisher>
    <b:RefOrder>9</b:RefOrder>
  </b:Source>
  <b:Source>
    <b:Tag>ICE152</b:Tag>
    <b:SourceType>BookSection</b:SourceType>
    <b:Guid>{79FBA276-5C4D-4082-A9A7-749F51B871BD}</b:Guid>
    <b:Title>Sole in Subarea VIId</b:Title>
    <b:Year>2015</b:Year>
    <b:BookTitle>Working Group on the Assessment of Demersal Stocks in the North Sea and Skagerrak (WGNSSK) Report 2015</b:BookTitle>
    <b:Pages>393-437</b:Pages>
    <b:Author>
      <b:Author>
        <b:Corporate>ICES</b:Corporate>
      </b:Author>
    </b:Author>
    <b:RefOrder>10</b:RefOrder>
  </b:Source>
  <b:Source>
    <b:Tag>IMA14</b:Tag>
    <b:SourceType>Report</b:SourceType>
    <b:Guid>{2E6FE60F-CE31-44A8-9727-D092F7E8A5EC}</b:Guid>
    <b:Author>
      <b:Author>
        <b:Corporate>IMARES Wageningen UR</b:Corporate>
      </b:Author>
    </b:Author>
    <b:Title>Discard Atlas of North Sea Fisheries</b:Title>
    <b:Year>2014</b:Year>
    <b:City>Wageningen</b:City>
    <b:RefOrder>11</b:RefOrder>
  </b:Source>
</b:Sources>
</file>

<file path=customXml/itemProps1.xml><?xml version="1.0" encoding="utf-8"?>
<ds:datastoreItem xmlns:ds="http://schemas.openxmlformats.org/officeDocument/2006/customXml" ds:itemID="{25E38AD5-FAC2-4DEB-8F3F-C3D573A1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4840</TotalTime>
  <Pages>7</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Coppack, Simon (DEFRA)</dc:creator>
  <cp:lastModifiedBy>Leeson, Dominik</cp:lastModifiedBy>
  <cp:revision>30</cp:revision>
  <cp:lastPrinted>2017-05-15T15:45:00Z</cp:lastPrinted>
  <dcterms:created xsi:type="dcterms:W3CDTF">2018-04-06T15:55:00Z</dcterms:created>
  <dcterms:modified xsi:type="dcterms:W3CDTF">2018-05-09T11:05:00Z</dcterms:modified>
</cp:coreProperties>
</file>