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6F" w:rsidRDefault="0057556F" w:rsidP="0057556F">
      <w:pPr>
        <w:jc w:val="center"/>
        <w:rPr>
          <w:sz w:val="32"/>
          <w:szCs w:val="32"/>
        </w:rPr>
      </w:pPr>
      <w:r w:rsidRPr="00C20D27">
        <w:rPr>
          <w:sz w:val="32"/>
          <w:szCs w:val="32"/>
        </w:rPr>
        <w:t xml:space="preserve">NWWAC </w:t>
      </w:r>
      <w:r>
        <w:rPr>
          <w:sz w:val="32"/>
          <w:szCs w:val="32"/>
        </w:rPr>
        <w:t xml:space="preserve">DRAFT </w:t>
      </w:r>
      <w:r w:rsidRPr="00C20D27">
        <w:rPr>
          <w:sz w:val="32"/>
          <w:szCs w:val="32"/>
        </w:rPr>
        <w:t>Advice on the implementation of the Landing Obligation</w:t>
      </w:r>
    </w:p>
    <w:p w:rsidR="00330E3D" w:rsidRDefault="0057556F"/>
    <w:p w:rsidR="008945BC" w:rsidRDefault="008945BC"/>
    <w:p w:rsidR="008945BC" w:rsidRDefault="0057556F" w:rsidP="008945BC">
      <w:r>
        <w:t>Addition to the text by Barrie Deas</w:t>
      </w:r>
    </w:p>
    <w:p w:rsidR="0057556F" w:rsidRDefault="0057556F" w:rsidP="008945BC">
      <w:bookmarkStart w:id="0" w:name="_GoBack"/>
      <w:bookmarkEnd w:id="0"/>
    </w:p>
    <w:p w:rsidR="008945BC" w:rsidRDefault="008945BC" w:rsidP="008945BC">
      <w:pPr>
        <w:rPr>
          <w:b/>
        </w:rPr>
      </w:pPr>
      <w:r>
        <w:rPr>
          <w:b/>
        </w:rPr>
        <w:t>Quota Uplift</w:t>
      </w:r>
    </w:p>
    <w:p w:rsidR="008945BC" w:rsidRDefault="008945BC" w:rsidP="008945BC"/>
    <w:p w:rsidR="008945BC" w:rsidRDefault="008945BC" w:rsidP="008945BC">
      <w:r>
        <w:t>Quota uplift to cover catches of regulated species will be an important factor in determining the scale of the problem of chokes in mixed demersal fisheries in North Western Waters.</w:t>
      </w:r>
    </w:p>
    <w:p w:rsidR="008945BC" w:rsidRDefault="008945BC" w:rsidP="008945BC">
      <w:r>
        <w:t>This issue has three aspects:</w:t>
      </w:r>
    </w:p>
    <w:p w:rsidR="008945BC" w:rsidRDefault="008945BC" w:rsidP="008945BC">
      <w:pPr>
        <w:pStyle w:val="ListParagraph"/>
        <w:numPr>
          <w:ilvl w:val="0"/>
          <w:numId w:val="1"/>
        </w:numPr>
      </w:pPr>
      <w:r>
        <w:t>The accuracy of discard estimates in the context of fisheries in which there is a recognised data deficiency decision (The ratio between estimates based on firm data and more speculative “fill ins” in the discard atlas for North Western Waters was in the region of 55/45)</w:t>
      </w:r>
    </w:p>
    <w:p w:rsidR="008945BC" w:rsidRDefault="008945BC" w:rsidP="008945BC">
      <w:pPr>
        <w:pStyle w:val="ListParagraph"/>
        <w:numPr>
          <w:ilvl w:val="0"/>
          <w:numId w:val="1"/>
        </w:numPr>
      </w:pPr>
      <w:r>
        <w:t>The allocation of quota uplift on the basis of relative stability keys will mean that quota uplift may not necessarily be available to those fisheries which generated those discards</w:t>
      </w:r>
    </w:p>
    <w:p w:rsidR="008945BC" w:rsidRDefault="008945BC" w:rsidP="008945BC">
      <w:pPr>
        <w:pStyle w:val="ListParagraph"/>
        <w:numPr>
          <w:ilvl w:val="0"/>
          <w:numId w:val="1"/>
        </w:numPr>
      </w:pPr>
      <w:r>
        <w:t>The allocation decisions within individual member states will potentially be a significant factor in directing quota to potential pinch points.</w:t>
      </w:r>
    </w:p>
    <w:p w:rsidR="008945BC" w:rsidRDefault="008945BC" w:rsidP="008945BC">
      <w:pPr>
        <w:pStyle w:val="ListParagraph"/>
        <w:numPr>
          <w:ilvl w:val="0"/>
          <w:numId w:val="1"/>
        </w:numPr>
      </w:pPr>
      <w:r>
        <w:t>Finally, the degree to which International Swaps and Transfers will be able to mitigate chokes by moving uplift to where it is needed is a significant and open question.</w:t>
      </w:r>
    </w:p>
    <w:p w:rsidR="008945BC" w:rsidRDefault="008945BC"/>
    <w:sectPr w:rsidR="00894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02E94"/>
    <w:multiLevelType w:val="hybridMultilevel"/>
    <w:tmpl w:val="3488A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BC"/>
    <w:rsid w:val="000D6E58"/>
    <w:rsid w:val="0057556F"/>
    <w:rsid w:val="008945BC"/>
    <w:rsid w:val="00955E48"/>
    <w:rsid w:val="00B23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B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B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 Deas</dc:creator>
  <cp:lastModifiedBy>Vandamme, Sara</cp:lastModifiedBy>
  <cp:revision>2</cp:revision>
  <dcterms:created xsi:type="dcterms:W3CDTF">2016-02-18T12:02:00Z</dcterms:created>
  <dcterms:modified xsi:type="dcterms:W3CDTF">2016-02-18T12:02:00Z</dcterms:modified>
</cp:coreProperties>
</file>