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6802C" w14:textId="4B28C857" w:rsidR="0052790A" w:rsidRDefault="003C7DB9" w:rsidP="0052790A">
      <w:pPr>
        <w:jc w:val="center"/>
        <w:rPr>
          <w:b/>
          <w:bCs/>
          <w:sz w:val="28"/>
          <w:szCs w:val="28"/>
          <w:lang w:val="en-US"/>
        </w:rPr>
      </w:pPr>
      <w:r w:rsidRPr="0052790A">
        <w:rPr>
          <w:b/>
          <w:bCs/>
          <w:sz w:val="28"/>
          <w:szCs w:val="28"/>
          <w:lang w:val="en-US"/>
        </w:rPr>
        <w:t xml:space="preserve">OVERVIEW </w:t>
      </w:r>
      <w:r w:rsidR="0052790A" w:rsidRPr="0052790A">
        <w:rPr>
          <w:b/>
          <w:bCs/>
          <w:sz w:val="28"/>
          <w:szCs w:val="28"/>
          <w:lang w:val="en-US"/>
        </w:rPr>
        <w:t>EXISTING</w:t>
      </w:r>
      <w:r w:rsidRPr="0052790A">
        <w:rPr>
          <w:b/>
          <w:bCs/>
          <w:sz w:val="28"/>
          <w:szCs w:val="28"/>
          <w:lang w:val="en-US"/>
        </w:rPr>
        <w:t xml:space="preserve"> EXEMPTIONS</w:t>
      </w:r>
      <w:r w:rsidR="0052790A">
        <w:rPr>
          <w:b/>
          <w:bCs/>
          <w:sz w:val="28"/>
          <w:szCs w:val="28"/>
          <w:lang w:val="en-US"/>
        </w:rPr>
        <w:t xml:space="preserve"> </w:t>
      </w:r>
    </w:p>
    <w:p w14:paraId="2F678D49" w14:textId="5ADFD25A" w:rsidR="00FA221E" w:rsidRPr="0052790A" w:rsidRDefault="0052790A" w:rsidP="0052790A">
      <w:pPr>
        <w:rPr>
          <w:lang w:val="en-US"/>
        </w:rPr>
      </w:pPr>
      <w:r w:rsidRPr="0052790A">
        <w:rPr>
          <w:lang w:val="en-US"/>
        </w:rPr>
        <w:t>The ones with a * are temporary a</w:t>
      </w:r>
      <w:r w:rsidR="009F701A" w:rsidRPr="0052790A">
        <w:rPr>
          <w:lang w:val="en-US"/>
        </w:rPr>
        <w:t>n</w:t>
      </w:r>
      <w:r w:rsidRPr="0052790A">
        <w:rPr>
          <w:lang w:val="en-US"/>
        </w:rPr>
        <w:t>d in</w:t>
      </w:r>
      <w:r w:rsidR="009F701A" w:rsidRPr="0052790A">
        <w:rPr>
          <w:lang w:val="en-US"/>
        </w:rPr>
        <w:t xml:space="preserve"> need of </w:t>
      </w:r>
      <w:r w:rsidR="001809C0" w:rsidRPr="0052790A">
        <w:rPr>
          <w:lang w:val="en-US"/>
        </w:rPr>
        <w:t>supporting information</w:t>
      </w:r>
      <w:r w:rsidR="009F701A" w:rsidRPr="0052790A">
        <w:rPr>
          <w:lang w:val="en-US"/>
        </w:rPr>
        <w:t xml:space="preserve"> by 1 May 2020</w:t>
      </w:r>
    </w:p>
    <w:p w14:paraId="48460C14" w14:textId="3A2A1645" w:rsidR="001809C0" w:rsidRDefault="00782C38" w:rsidP="00782C38">
      <w:pPr>
        <w:rPr>
          <w:b/>
          <w:bCs/>
          <w:lang w:val="en-US"/>
        </w:rPr>
      </w:pPr>
      <w:r>
        <w:rPr>
          <w:b/>
          <w:bCs/>
          <w:lang w:val="en-US"/>
        </w:rPr>
        <w:t>High survivability exemptions</w:t>
      </w:r>
    </w:p>
    <w:tbl>
      <w:tblPr>
        <w:tblStyle w:val="TableGrid"/>
        <w:tblW w:w="13036" w:type="dxa"/>
        <w:tblLook w:val="04A0" w:firstRow="1" w:lastRow="0" w:firstColumn="1" w:lastColumn="0" w:noHBand="0" w:noVBand="1"/>
      </w:tblPr>
      <w:tblGrid>
        <w:gridCol w:w="1508"/>
        <w:gridCol w:w="6181"/>
        <w:gridCol w:w="5347"/>
      </w:tblGrid>
      <w:tr w:rsidR="0035553B" w14:paraId="795EFFE7" w14:textId="77777777" w:rsidTr="00DA1D90">
        <w:tc>
          <w:tcPr>
            <w:tcW w:w="1508" w:type="dxa"/>
          </w:tcPr>
          <w:p w14:paraId="00485CD6" w14:textId="34BBE7CC" w:rsidR="0035553B" w:rsidRDefault="0035553B" w:rsidP="001809C0">
            <w:pPr>
              <w:rPr>
                <w:b/>
                <w:bCs/>
                <w:lang w:val="en-US"/>
              </w:rPr>
            </w:pPr>
            <w:r>
              <w:rPr>
                <w:b/>
                <w:bCs/>
                <w:lang w:val="en-US"/>
              </w:rPr>
              <w:t xml:space="preserve">Stock </w:t>
            </w:r>
          </w:p>
        </w:tc>
        <w:tc>
          <w:tcPr>
            <w:tcW w:w="6181" w:type="dxa"/>
          </w:tcPr>
          <w:p w14:paraId="731E2527" w14:textId="39D64ED3" w:rsidR="0035553B" w:rsidRPr="0035553B" w:rsidRDefault="0035553B" w:rsidP="001809C0">
            <w:pPr>
              <w:rPr>
                <w:b/>
                <w:bCs/>
                <w:lang w:val="en-US"/>
              </w:rPr>
            </w:pPr>
            <w:r w:rsidRPr="0035553B">
              <w:rPr>
                <w:b/>
                <w:bCs/>
                <w:lang w:val="en-US"/>
              </w:rPr>
              <w:t>Discard Plan 2019</w:t>
            </w:r>
          </w:p>
        </w:tc>
        <w:tc>
          <w:tcPr>
            <w:tcW w:w="5347" w:type="dxa"/>
          </w:tcPr>
          <w:p w14:paraId="668437D6" w14:textId="1D785A87" w:rsidR="0035553B" w:rsidRDefault="0035553B" w:rsidP="001809C0">
            <w:pPr>
              <w:rPr>
                <w:b/>
                <w:bCs/>
                <w:lang w:val="en-US"/>
              </w:rPr>
            </w:pPr>
            <w:r>
              <w:rPr>
                <w:b/>
                <w:bCs/>
                <w:lang w:val="en-US"/>
              </w:rPr>
              <w:t>NWWAC advice</w:t>
            </w:r>
            <w:r w:rsidR="00D6657D">
              <w:rPr>
                <w:b/>
                <w:bCs/>
                <w:lang w:val="en-US"/>
              </w:rPr>
              <w:t xml:space="preserve"> (Choke ID 2019)</w:t>
            </w:r>
          </w:p>
        </w:tc>
      </w:tr>
      <w:tr w:rsidR="009F701A" w14:paraId="363C2414" w14:textId="77777777" w:rsidTr="00DA1D90">
        <w:tc>
          <w:tcPr>
            <w:tcW w:w="1508" w:type="dxa"/>
          </w:tcPr>
          <w:p w14:paraId="72B76E0E" w14:textId="76FF831E" w:rsidR="009F701A" w:rsidRDefault="009F701A" w:rsidP="001809C0">
            <w:pPr>
              <w:rPr>
                <w:b/>
                <w:bCs/>
                <w:lang w:val="en-US"/>
              </w:rPr>
            </w:pPr>
            <w:proofErr w:type="spellStart"/>
            <w:r>
              <w:rPr>
                <w:b/>
                <w:bCs/>
                <w:lang w:val="en-US"/>
              </w:rPr>
              <w:t>Nephrops</w:t>
            </w:r>
            <w:proofErr w:type="spellEnd"/>
            <w:r>
              <w:rPr>
                <w:b/>
                <w:bCs/>
                <w:lang w:val="en-US"/>
              </w:rPr>
              <w:t xml:space="preserve"> 6</w:t>
            </w:r>
            <w:r w:rsidR="00776CF9">
              <w:rPr>
                <w:b/>
                <w:bCs/>
                <w:lang w:val="en-US"/>
              </w:rPr>
              <w:t>a</w:t>
            </w:r>
          </w:p>
        </w:tc>
        <w:tc>
          <w:tcPr>
            <w:tcW w:w="6181" w:type="dxa"/>
          </w:tcPr>
          <w:p w14:paraId="0206106B" w14:textId="43560CF6" w:rsidR="009F701A" w:rsidRPr="0035553B" w:rsidRDefault="009F701A" w:rsidP="001809C0">
            <w:pPr>
              <w:rPr>
                <w:lang w:val="en-US"/>
              </w:rPr>
            </w:pPr>
            <w:r w:rsidRPr="0035553B">
              <w:rPr>
                <w:lang w:val="en-US"/>
              </w:rPr>
              <w:t>Survivability exemption for Norway lobster caught within twelve nautical miles of the coast, using otter trawls with a mesh size of 80-110 mm.</w:t>
            </w:r>
          </w:p>
        </w:tc>
        <w:tc>
          <w:tcPr>
            <w:tcW w:w="5347" w:type="dxa"/>
          </w:tcPr>
          <w:p w14:paraId="1DE192F3" w14:textId="77777777" w:rsidR="0035553B" w:rsidRPr="0035553B" w:rsidRDefault="0035553B" w:rsidP="0035553B">
            <w:pPr>
              <w:rPr>
                <w:rFonts w:ascii="Calibri" w:hAnsi="Calibri" w:cs="Calibri"/>
                <w:color w:val="000000"/>
              </w:rPr>
            </w:pPr>
            <w:r w:rsidRPr="0035553B">
              <w:rPr>
                <w:rFonts w:ascii="Calibri" w:hAnsi="Calibri" w:cs="Calibri"/>
                <w:color w:val="000000"/>
              </w:rPr>
              <w:t>Additional survivability studies to cover fisheries outside 12 nautical miles</w:t>
            </w:r>
          </w:p>
          <w:p w14:paraId="3DB079C4" w14:textId="77E92E06" w:rsidR="009F701A" w:rsidRPr="0035553B" w:rsidRDefault="009F701A" w:rsidP="001809C0"/>
        </w:tc>
      </w:tr>
      <w:tr w:rsidR="00776CF9" w14:paraId="5D6E5B13" w14:textId="77777777" w:rsidTr="00DA1D90">
        <w:tc>
          <w:tcPr>
            <w:tcW w:w="1508" w:type="dxa"/>
          </w:tcPr>
          <w:p w14:paraId="57667D1C" w14:textId="7B79552D" w:rsidR="00776CF9" w:rsidRDefault="00776CF9" w:rsidP="00776CF9">
            <w:pPr>
              <w:rPr>
                <w:b/>
                <w:bCs/>
                <w:lang w:val="en-US"/>
              </w:rPr>
            </w:pPr>
            <w:proofErr w:type="spellStart"/>
            <w:r>
              <w:rPr>
                <w:b/>
                <w:bCs/>
                <w:lang w:val="en-US"/>
              </w:rPr>
              <w:t>Nephrops</w:t>
            </w:r>
            <w:proofErr w:type="spellEnd"/>
            <w:r>
              <w:rPr>
                <w:b/>
                <w:bCs/>
                <w:lang w:val="en-US"/>
              </w:rPr>
              <w:t xml:space="preserve"> 6 and 7</w:t>
            </w:r>
          </w:p>
        </w:tc>
        <w:tc>
          <w:tcPr>
            <w:tcW w:w="6181" w:type="dxa"/>
          </w:tcPr>
          <w:p w14:paraId="11DA77DC" w14:textId="0E6EE404" w:rsidR="00776CF9" w:rsidRPr="0035553B" w:rsidRDefault="00776CF9" w:rsidP="00776CF9">
            <w:pPr>
              <w:rPr>
                <w:lang w:val="en-US"/>
              </w:rPr>
            </w:pPr>
            <w:r>
              <w:rPr>
                <w:lang w:val="en-US"/>
              </w:rPr>
              <w:t>C</w:t>
            </w:r>
            <w:r w:rsidRPr="00776CF9">
              <w:rPr>
                <w:lang w:val="en-US"/>
              </w:rPr>
              <w:t>aught in pots, traps or creels</w:t>
            </w:r>
            <w:r>
              <w:rPr>
                <w:lang w:val="en-US"/>
              </w:rPr>
              <w:t>.</w:t>
            </w:r>
          </w:p>
        </w:tc>
        <w:tc>
          <w:tcPr>
            <w:tcW w:w="5347" w:type="dxa"/>
          </w:tcPr>
          <w:p w14:paraId="053500DA" w14:textId="77777777" w:rsidR="00776CF9" w:rsidRPr="0035553B" w:rsidRDefault="00776CF9" w:rsidP="00776CF9">
            <w:pPr>
              <w:rPr>
                <w:rFonts w:ascii="Calibri" w:hAnsi="Calibri" w:cs="Calibri"/>
                <w:color w:val="000000"/>
              </w:rPr>
            </w:pPr>
          </w:p>
        </w:tc>
      </w:tr>
      <w:tr w:rsidR="00776CF9" w14:paraId="1CA94190" w14:textId="77777777" w:rsidTr="00DA1D90">
        <w:tc>
          <w:tcPr>
            <w:tcW w:w="1508" w:type="dxa"/>
          </w:tcPr>
          <w:p w14:paraId="54B921C8" w14:textId="1BD70053" w:rsidR="00776CF9" w:rsidRDefault="00776CF9" w:rsidP="00776CF9">
            <w:pPr>
              <w:rPr>
                <w:b/>
                <w:bCs/>
                <w:lang w:val="en-US"/>
              </w:rPr>
            </w:pPr>
            <w:proofErr w:type="spellStart"/>
            <w:r>
              <w:rPr>
                <w:b/>
                <w:bCs/>
                <w:lang w:val="en-US"/>
              </w:rPr>
              <w:t>Nephrops</w:t>
            </w:r>
            <w:proofErr w:type="spellEnd"/>
            <w:r>
              <w:rPr>
                <w:b/>
                <w:bCs/>
                <w:lang w:val="en-US"/>
              </w:rPr>
              <w:t xml:space="preserve"> 7</w:t>
            </w:r>
          </w:p>
        </w:tc>
        <w:tc>
          <w:tcPr>
            <w:tcW w:w="6181" w:type="dxa"/>
          </w:tcPr>
          <w:p w14:paraId="5D51D2F1" w14:textId="62FB5A35" w:rsidR="00776CF9" w:rsidRDefault="00776CF9" w:rsidP="00776CF9">
            <w:pPr>
              <w:rPr>
                <w:lang w:val="en-US"/>
              </w:rPr>
            </w:pPr>
            <w:r>
              <w:rPr>
                <w:lang w:val="en-US"/>
              </w:rPr>
              <w:t>C</w:t>
            </w:r>
            <w:r w:rsidRPr="00776CF9">
              <w:rPr>
                <w:lang w:val="en-US"/>
              </w:rPr>
              <w:t>aught with bottom trawls with a mesh size equal to or larger than 100 mm</w:t>
            </w:r>
          </w:p>
        </w:tc>
        <w:tc>
          <w:tcPr>
            <w:tcW w:w="5347" w:type="dxa"/>
          </w:tcPr>
          <w:p w14:paraId="271646DD" w14:textId="77777777" w:rsidR="00776CF9" w:rsidRPr="0035553B" w:rsidRDefault="00776CF9" w:rsidP="00776CF9">
            <w:pPr>
              <w:rPr>
                <w:rFonts w:ascii="Calibri" w:hAnsi="Calibri" w:cs="Calibri"/>
                <w:color w:val="000000"/>
              </w:rPr>
            </w:pPr>
          </w:p>
        </w:tc>
      </w:tr>
      <w:tr w:rsidR="00776CF9" w14:paraId="644A0B26" w14:textId="77777777" w:rsidTr="00DA1D90">
        <w:tc>
          <w:tcPr>
            <w:tcW w:w="1508" w:type="dxa"/>
          </w:tcPr>
          <w:p w14:paraId="70F79A25" w14:textId="38EC1DE2" w:rsidR="00776CF9" w:rsidRDefault="00776CF9" w:rsidP="00776CF9">
            <w:pPr>
              <w:rPr>
                <w:b/>
                <w:bCs/>
                <w:lang w:val="en-US"/>
              </w:rPr>
            </w:pPr>
            <w:proofErr w:type="spellStart"/>
            <w:r>
              <w:rPr>
                <w:b/>
                <w:bCs/>
                <w:lang w:val="en-US"/>
              </w:rPr>
              <w:t>Nephrops</w:t>
            </w:r>
            <w:proofErr w:type="spellEnd"/>
            <w:r>
              <w:rPr>
                <w:b/>
                <w:bCs/>
                <w:lang w:val="en-US"/>
              </w:rPr>
              <w:t xml:space="preserve"> </w:t>
            </w:r>
            <w:r w:rsidR="00D052FC">
              <w:rPr>
                <w:b/>
                <w:bCs/>
                <w:lang w:val="en-US"/>
              </w:rPr>
              <w:t>7</w:t>
            </w:r>
          </w:p>
        </w:tc>
        <w:tc>
          <w:tcPr>
            <w:tcW w:w="6181" w:type="dxa"/>
          </w:tcPr>
          <w:p w14:paraId="65E17CF8" w14:textId="04DEB62E" w:rsidR="00776CF9" w:rsidRDefault="00D052FC" w:rsidP="00776CF9">
            <w:pPr>
              <w:rPr>
                <w:lang w:val="en-US"/>
              </w:rPr>
            </w:pPr>
            <w:r>
              <w:rPr>
                <w:lang w:val="en-US"/>
              </w:rPr>
              <w:t>C</w:t>
            </w:r>
            <w:r w:rsidRPr="00D052FC">
              <w:rPr>
                <w:lang w:val="en-US"/>
              </w:rPr>
              <w:t xml:space="preserve">aught with bottom trawls with a mesh size of 70-99 mm in combination with highly selective gear options, as set out in Articles 9(2) </w:t>
            </w:r>
            <w:r>
              <w:rPr>
                <w:lang w:val="en-US"/>
              </w:rPr>
              <w:t xml:space="preserve">(TM for Celtic Sea Protection Zone) </w:t>
            </w:r>
            <w:r w:rsidRPr="00D052FC">
              <w:rPr>
                <w:lang w:val="en-US"/>
              </w:rPr>
              <w:t xml:space="preserve">and 10(2) </w:t>
            </w:r>
            <w:r>
              <w:rPr>
                <w:lang w:val="en-US"/>
              </w:rPr>
              <w:t xml:space="preserve">(TM for Irish Sea) </w:t>
            </w:r>
            <w:r w:rsidRPr="00D052FC">
              <w:rPr>
                <w:lang w:val="en-US"/>
              </w:rPr>
              <w:t>of this Regulation</w:t>
            </w:r>
            <w:r>
              <w:rPr>
                <w:lang w:val="en-US"/>
              </w:rPr>
              <w:t>.</w:t>
            </w:r>
          </w:p>
        </w:tc>
        <w:tc>
          <w:tcPr>
            <w:tcW w:w="5347" w:type="dxa"/>
          </w:tcPr>
          <w:p w14:paraId="168415EE" w14:textId="77777777" w:rsidR="00776CF9" w:rsidRPr="0035553B" w:rsidRDefault="00776CF9" w:rsidP="00776CF9">
            <w:pPr>
              <w:rPr>
                <w:rFonts w:ascii="Calibri" w:hAnsi="Calibri" w:cs="Calibri"/>
                <w:color w:val="000000"/>
              </w:rPr>
            </w:pPr>
          </w:p>
        </w:tc>
      </w:tr>
      <w:tr w:rsidR="00D052FC" w14:paraId="6003D0D1" w14:textId="77777777" w:rsidTr="00DA1D90">
        <w:tc>
          <w:tcPr>
            <w:tcW w:w="1508" w:type="dxa"/>
          </w:tcPr>
          <w:p w14:paraId="10E478F4" w14:textId="508C29C6" w:rsidR="00D052FC" w:rsidRDefault="00D052FC" w:rsidP="00776CF9">
            <w:pPr>
              <w:rPr>
                <w:b/>
                <w:bCs/>
                <w:lang w:val="en-US"/>
              </w:rPr>
            </w:pPr>
            <w:r>
              <w:rPr>
                <w:b/>
                <w:bCs/>
                <w:lang w:val="en-US"/>
              </w:rPr>
              <w:t xml:space="preserve">Sole 7d </w:t>
            </w:r>
          </w:p>
        </w:tc>
        <w:tc>
          <w:tcPr>
            <w:tcW w:w="6181" w:type="dxa"/>
          </w:tcPr>
          <w:p w14:paraId="2B4C6FC9" w14:textId="1B61C9CA" w:rsidR="00D052FC" w:rsidRPr="00D052FC" w:rsidRDefault="00D052FC" w:rsidP="00D052FC">
            <w:pPr>
              <w:rPr>
                <w:lang w:val="en-US"/>
              </w:rPr>
            </w:pPr>
            <w:r>
              <w:rPr>
                <w:lang w:val="en-US"/>
              </w:rPr>
              <w:t>W</w:t>
            </w:r>
            <w:r w:rsidRPr="00D052FC">
              <w:rPr>
                <w:lang w:val="en-US"/>
              </w:rPr>
              <w:t>ithin six nautical miles of the coast but outside identified nursery areas, catches of</w:t>
            </w:r>
            <w:r>
              <w:rPr>
                <w:lang w:val="en-US"/>
              </w:rPr>
              <w:t xml:space="preserve"> </w:t>
            </w:r>
            <w:r w:rsidRPr="00D052FC">
              <w:rPr>
                <w:lang w:val="en-US"/>
              </w:rPr>
              <w:t>below the minimum conservation reference size made using otter trawl gears with a cod end mesh size of 80-99 mm, by vessels:</w:t>
            </w:r>
          </w:p>
          <w:p w14:paraId="2E694245" w14:textId="77777777" w:rsidR="00D052FC" w:rsidRPr="00D052FC" w:rsidRDefault="00D052FC" w:rsidP="00D052FC">
            <w:pPr>
              <w:rPr>
                <w:lang w:val="en-US"/>
              </w:rPr>
            </w:pPr>
          </w:p>
          <w:p w14:paraId="31AB7CF2" w14:textId="0DC8BB4A" w:rsidR="00D052FC" w:rsidRPr="00D052FC" w:rsidRDefault="00D052FC" w:rsidP="00D052FC">
            <w:pPr>
              <w:rPr>
                <w:lang w:val="en-US"/>
              </w:rPr>
            </w:pPr>
            <w:r w:rsidRPr="00D052FC">
              <w:rPr>
                <w:lang w:val="en-US"/>
              </w:rPr>
              <w:t>(a)having a maximum length of 10 meters and a maximum engine power of 221 kW; and</w:t>
            </w:r>
          </w:p>
          <w:p w14:paraId="1AE51214" w14:textId="77777777" w:rsidR="00D052FC" w:rsidRPr="00D052FC" w:rsidRDefault="00D052FC" w:rsidP="00D052FC">
            <w:pPr>
              <w:rPr>
                <w:lang w:val="en-US"/>
              </w:rPr>
            </w:pPr>
          </w:p>
          <w:p w14:paraId="2800F5E5" w14:textId="1220C240" w:rsidR="00D052FC" w:rsidRDefault="00D052FC" w:rsidP="00D052FC">
            <w:pPr>
              <w:rPr>
                <w:lang w:val="en-US"/>
              </w:rPr>
            </w:pPr>
            <w:r w:rsidRPr="00D052FC">
              <w:rPr>
                <w:lang w:val="en-US"/>
              </w:rPr>
              <w:t>(b)</w:t>
            </w:r>
            <w:r>
              <w:rPr>
                <w:lang w:val="en-US"/>
              </w:rPr>
              <w:t xml:space="preserve"> </w:t>
            </w:r>
            <w:r w:rsidRPr="00D052FC">
              <w:rPr>
                <w:lang w:val="en-US"/>
              </w:rPr>
              <w:t>fishing in waters with the depth of 30 meters or less and with tow durations of no more than 1:30 hours.</w:t>
            </w:r>
          </w:p>
        </w:tc>
        <w:tc>
          <w:tcPr>
            <w:tcW w:w="5347" w:type="dxa"/>
          </w:tcPr>
          <w:p w14:paraId="17B73E49" w14:textId="77777777" w:rsidR="00E9119A" w:rsidRDefault="00E9119A" w:rsidP="00E9119A">
            <w:pPr>
              <w:rPr>
                <w:rFonts w:ascii="Calibri" w:hAnsi="Calibri" w:cs="Calibri"/>
              </w:rPr>
            </w:pPr>
            <w:r>
              <w:rPr>
                <w:rFonts w:ascii="Calibri" w:hAnsi="Calibri" w:cs="Calibri"/>
              </w:rPr>
              <w:t xml:space="preserve">Monitor effectiveness of selectivity measures introduced </w:t>
            </w:r>
          </w:p>
          <w:p w14:paraId="47E61015" w14:textId="2564275A" w:rsidR="00D052FC" w:rsidRPr="0035553B" w:rsidRDefault="00E9119A" w:rsidP="00E9119A">
            <w:pPr>
              <w:rPr>
                <w:rFonts w:ascii="Calibri" w:hAnsi="Calibri" w:cs="Calibri"/>
                <w:color w:val="000000"/>
              </w:rPr>
            </w:pPr>
            <w:r w:rsidRPr="00E9119A">
              <w:rPr>
                <w:rFonts w:ascii="Calibri" w:hAnsi="Calibri" w:cs="Calibri"/>
                <w:color w:val="000000"/>
              </w:rPr>
              <w:t>Reconsider similar high survivability exemption</w:t>
            </w:r>
            <w:r>
              <w:rPr>
                <w:rFonts w:ascii="Calibri" w:hAnsi="Calibri" w:cs="Calibri"/>
                <w:color w:val="000000"/>
              </w:rPr>
              <w:t xml:space="preserve"> for sole in 7e</w:t>
            </w:r>
            <w:r w:rsidRPr="00E9119A">
              <w:rPr>
                <w:rFonts w:ascii="Calibri" w:hAnsi="Calibri" w:cs="Calibri"/>
                <w:color w:val="000000"/>
              </w:rPr>
              <w:t xml:space="preserve"> as for sole in 7d, once MS provide information on the fishery catch composition and the related survival rate of the species in the relevant fisheries.</w:t>
            </w:r>
          </w:p>
        </w:tc>
      </w:tr>
      <w:tr w:rsidR="00776CF9" w14:paraId="3BD74252" w14:textId="77777777" w:rsidTr="00DA1D90">
        <w:tc>
          <w:tcPr>
            <w:tcW w:w="1508" w:type="dxa"/>
          </w:tcPr>
          <w:p w14:paraId="109DE427" w14:textId="4443BC33" w:rsidR="00776CF9" w:rsidRDefault="00776CF9" w:rsidP="00776CF9">
            <w:pPr>
              <w:rPr>
                <w:rFonts w:ascii="Calibri" w:hAnsi="Calibri" w:cs="Calibri"/>
                <w:b/>
                <w:bCs/>
                <w:color w:val="000000"/>
              </w:rPr>
            </w:pPr>
            <w:r>
              <w:rPr>
                <w:rFonts w:ascii="Calibri" w:hAnsi="Calibri" w:cs="Calibri"/>
                <w:b/>
                <w:bCs/>
                <w:color w:val="000000"/>
              </w:rPr>
              <w:t>Skates and Rays 6 &amp; 7*</w:t>
            </w:r>
          </w:p>
          <w:p w14:paraId="3DE8C612" w14:textId="77777777" w:rsidR="00776CF9" w:rsidRDefault="00776CF9" w:rsidP="00776CF9">
            <w:pPr>
              <w:rPr>
                <w:b/>
                <w:bCs/>
                <w:lang w:val="en-US"/>
              </w:rPr>
            </w:pPr>
          </w:p>
        </w:tc>
        <w:tc>
          <w:tcPr>
            <w:tcW w:w="6181" w:type="dxa"/>
          </w:tcPr>
          <w:p w14:paraId="26038685" w14:textId="30E59489" w:rsidR="00776CF9" w:rsidRPr="0035553B" w:rsidRDefault="00776CF9" w:rsidP="00776CF9">
            <w:pPr>
              <w:rPr>
                <w:rFonts w:ascii="Calibri" w:hAnsi="Calibri" w:cs="Calibri"/>
                <w:color w:val="000000"/>
              </w:rPr>
            </w:pPr>
            <w:r>
              <w:rPr>
                <w:rFonts w:ascii="Calibri" w:hAnsi="Calibri" w:cs="Calibri"/>
                <w:color w:val="000000"/>
              </w:rPr>
              <w:t xml:space="preserve">High survivability exemption until 2021 for skates and </w:t>
            </w:r>
            <w:proofErr w:type="gramStart"/>
            <w:r>
              <w:rPr>
                <w:rFonts w:ascii="Calibri" w:hAnsi="Calibri" w:cs="Calibri"/>
                <w:color w:val="000000"/>
              </w:rPr>
              <w:t>rays</w:t>
            </w:r>
            <w:proofErr w:type="gramEnd"/>
            <w:r>
              <w:rPr>
                <w:rFonts w:ascii="Calibri" w:hAnsi="Calibri" w:cs="Calibri"/>
                <w:color w:val="000000"/>
              </w:rPr>
              <w:t xml:space="preserve"> species caught with any gear in the North Western Waters. </w:t>
            </w:r>
          </w:p>
        </w:tc>
        <w:tc>
          <w:tcPr>
            <w:tcW w:w="5347" w:type="dxa"/>
          </w:tcPr>
          <w:p w14:paraId="704C57F5" w14:textId="203BE765" w:rsidR="00776CF9" w:rsidRPr="0035553B" w:rsidRDefault="00776CF9" w:rsidP="00776CF9">
            <w:pPr>
              <w:rPr>
                <w:rFonts w:ascii="Calibri" w:hAnsi="Calibri" w:cs="Calibri"/>
                <w:color w:val="000000"/>
              </w:rPr>
            </w:pPr>
            <w:r>
              <w:rPr>
                <w:rFonts w:ascii="Calibri" w:hAnsi="Calibri" w:cs="Calibri"/>
                <w:color w:val="000000"/>
              </w:rPr>
              <w:t>In line with NWW Roadmap for skates and rays, the programme of data collection, further high survivability experiments and improvements in selectivity should continue.</w:t>
            </w:r>
          </w:p>
        </w:tc>
      </w:tr>
      <w:tr w:rsidR="00776CF9" w14:paraId="2B12F32D" w14:textId="77777777" w:rsidTr="00DA1D90">
        <w:tc>
          <w:tcPr>
            <w:tcW w:w="1508" w:type="dxa"/>
          </w:tcPr>
          <w:p w14:paraId="713DE013" w14:textId="53DEE82E" w:rsidR="00776CF9" w:rsidRDefault="00776CF9" w:rsidP="00776CF9">
            <w:pPr>
              <w:rPr>
                <w:rFonts w:ascii="Calibri" w:hAnsi="Calibri" w:cs="Calibri"/>
                <w:b/>
                <w:bCs/>
                <w:color w:val="000000"/>
              </w:rPr>
            </w:pPr>
            <w:r>
              <w:rPr>
                <w:rFonts w:ascii="Calibri" w:hAnsi="Calibri" w:cs="Calibri"/>
                <w:b/>
                <w:bCs/>
                <w:color w:val="000000"/>
              </w:rPr>
              <w:lastRenderedPageBreak/>
              <w:t>Plaice 7d</w:t>
            </w:r>
            <w:r w:rsidR="00840FD8">
              <w:rPr>
                <w:rFonts w:ascii="Calibri" w:hAnsi="Calibri" w:cs="Calibri"/>
                <w:b/>
                <w:bCs/>
                <w:color w:val="000000"/>
              </w:rPr>
              <w:t>-g</w:t>
            </w:r>
          </w:p>
        </w:tc>
        <w:tc>
          <w:tcPr>
            <w:tcW w:w="6181" w:type="dxa"/>
          </w:tcPr>
          <w:p w14:paraId="4B1DD650" w14:textId="06F8175E" w:rsidR="00776CF9" w:rsidRPr="0035553B" w:rsidRDefault="00840FD8" w:rsidP="00776CF9">
            <w:pPr>
              <w:rPr>
                <w:rFonts w:ascii="Calibri" w:hAnsi="Calibri" w:cs="Calibri"/>
                <w:color w:val="000000"/>
              </w:rPr>
            </w:pPr>
            <w:r>
              <w:rPr>
                <w:rFonts w:ascii="Calibri" w:hAnsi="Calibri" w:cs="Calibri"/>
                <w:color w:val="000000"/>
              </w:rPr>
              <w:t>C</w:t>
            </w:r>
            <w:r w:rsidR="00776CF9" w:rsidRPr="0035553B">
              <w:rPr>
                <w:rFonts w:ascii="Calibri" w:hAnsi="Calibri" w:cs="Calibri"/>
                <w:color w:val="000000"/>
              </w:rPr>
              <w:t>aught with trammel net</w:t>
            </w:r>
            <w:r w:rsidR="00776CF9">
              <w:rPr>
                <w:rFonts w:ascii="Calibri" w:hAnsi="Calibri" w:cs="Calibri"/>
                <w:color w:val="000000"/>
              </w:rPr>
              <w:t>s</w:t>
            </w:r>
            <w:r>
              <w:rPr>
                <w:rFonts w:ascii="Calibri" w:hAnsi="Calibri" w:cs="Calibri"/>
                <w:color w:val="000000"/>
              </w:rPr>
              <w:t>.</w:t>
            </w:r>
          </w:p>
          <w:p w14:paraId="6DCA3B0D" w14:textId="6999DA37" w:rsidR="00776CF9" w:rsidRDefault="00776CF9" w:rsidP="00776CF9">
            <w:pPr>
              <w:rPr>
                <w:rFonts w:ascii="Calibri" w:hAnsi="Calibri" w:cs="Calibri"/>
                <w:color w:val="000000"/>
              </w:rPr>
            </w:pPr>
          </w:p>
        </w:tc>
        <w:tc>
          <w:tcPr>
            <w:tcW w:w="5347" w:type="dxa"/>
          </w:tcPr>
          <w:p w14:paraId="02484F32" w14:textId="118AD917" w:rsidR="00776CF9" w:rsidRDefault="00776CF9" w:rsidP="00776CF9">
            <w:pPr>
              <w:rPr>
                <w:rFonts w:ascii="Calibri" w:hAnsi="Calibri" w:cs="Calibri"/>
                <w:color w:val="000000"/>
              </w:rPr>
            </w:pPr>
            <w:r>
              <w:rPr>
                <w:rFonts w:ascii="Calibri" w:hAnsi="Calibri" w:cs="Calibri"/>
                <w:color w:val="000000"/>
              </w:rPr>
              <w:t xml:space="preserve">Further survivability work should be prioritised to confirm survival rates. </w:t>
            </w:r>
          </w:p>
        </w:tc>
      </w:tr>
      <w:tr w:rsidR="00D052FC" w14:paraId="6D98B092" w14:textId="77777777" w:rsidTr="00DA1D90">
        <w:tc>
          <w:tcPr>
            <w:tcW w:w="1508" w:type="dxa"/>
          </w:tcPr>
          <w:p w14:paraId="3BD4C254" w14:textId="14EE2EF1" w:rsidR="00D052FC" w:rsidRDefault="00840FD8" w:rsidP="00776CF9">
            <w:pPr>
              <w:rPr>
                <w:rFonts w:ascii="Calibri" w:hAnsi="Calibri" w:cs="Calibri"/>
                <w:b/>
                <w:bCs/>
                <w:color w:val="000000"/>
              </w:rPr>
            </w:pPr>
            <w:r>
              <w:rPr>
                <w:rFonts w:ascii="Calibri" w:hAnsi="Calibri" w:cs="Calibri"/>
                <w:b/>
                <w:bCs/>
                <w:color w:val="000000"/>
              </w:rPr>
              <w:t>Plaice 7d-g</w:t>
            </w:r>
          </w:p>
        </w:tc>
        <w:tc>
          <w:tcPr>
            <w:tcW w:w="6181" w:type="dxa"/>
          </w:tcPr>
          <w:p w14:paraId="6C2FF1C5" w14:textId="26C7128E" w:rsidR="00D052FC" w:rsidRPr="0035553B" w:rsidRDefault="00840FD8" w:rsidP="00776CF9">
            <w:pPr>
              <w:rPr>
                <w:rFonts w:ascii="Calibri" w:hAnsi="Calibri" w:cs="Calibri"/>
                <w:color w:val="000000"/>
              </w:rPr>
            </w:pPr>
            <w:r>
              <w:rPr>
                <w:rFonts w:ascii="Calibri" w:hAnsi="Calibri" w:cs="Calibri"/>
                <w:color w:val="000000"/>
              </w:rPr>
              <w:t xml:space="preserve">Caught with otter trawls. </w:t>
            </w:r>
          </w:p>
        </w:tc>
        <w:tc>
          <w:tcPr>
            <w:tcW w:w="5347" w:type="dxa"/>
          </w:tcPr>
          <w:p w14:paraId="065B09EE" w14:textId="24B963E3" w:rsidR="00D052FC" w:rsidRDefault="00E9119A" w:rsidP="00776CF9">
            <w:pPr>
              <w:rPr>
                <w:rFonts w:ascii="Calibri" w:hAnsi="Calibri" w:cs="Calibri"/>
                <w:color w:val="000000"/>
              </w:rPr>
            </w:pPr>
            <w:r>
              <w:rPr>
                <w:rFonts w:ascii="Calibri" w:hAnsi="Calibri" w:cs="Calibri"/>
                <w:color w:val="000000"/>
              </w:rPr>
              <w:t>Further survivability work should be prioritised to confirm survival rates.</w:t>
            </w:r>
          </w:p>
        </w:tc>
      </w:tr>
      <w:tr w:rsidR="00D052FC" w14:paraId="033C4510" w14:textId="77777777" w:rsidTr="00DA1D90">
        <w:tc>
          <w:tcPr>
            <w:tcW w:w="1508" w:type="dxa"/>
          </w:tcPr>
          <w:p w14:paraId="5122678E" w14:textId="0AC3AED7" w:rsidR="00D052FC" w:rsidRDefault="00840FD8" w:rsidP="00776CF9">
            <w:pPr>
              <w:rPr>
                <w:rFonts w:ascii="Calibri" w:hAnsi="Calibri" w:cs="Calibri"/>
                <w:b/>
                <w:bCs/>
                <w:color w:val="000000"/>
              </w:rPr>
            </w:pPr>
            <w:r>
              <w:rPr>
                <w:rFonts w:ascii="Calibri" w:hAnsi="Calibri" w:cs="Calibri"/>
                <w:b/>
                <w:bCs/>
                <w:color w:val="000000"/>
              </w:rPr>
              <w:t>Plaice 7a-7k (temporary 7h, j, k)</w:t>
            </w:r>
          </w:p>
        </w:tc>
        <w:tc>
          <w:tcPr>
            <w:tcW w:w="6181" w:type="dxa"/>
          </w:tcPr>
          <w:p w14:paraId="0029DA1F" w14:textId="77777777" w:rsidR="00D052FC" w:rsidRDefault="00840FD8" w:rsidP="00776CF9">
            <w:pPr>
              <w:rPr>
                <w:rFonts w:ascii="Calibri" w:hAnsi="Calibri" w:cs="Calibri"/>
                <w:color w:val="000000"/>
              </w:rPr>
            </w:pPr>
            <w:r>
              <w:rPr>
                <w:rFonts w:ascii="Calibri" w:hAnsi="Calibri" w:cs="Calibri"/>
                <w:color w:val="000000"/>
              </w:rPr>
              <w:t>C</w:t>
            </w:r>
            <w:r w:rsidRPr="00840FD8">
              <w:rPr>
                <w:rFonts w:ascii="Calibri" w:hAnsi="Calibri" w:cs="Calibri"/>
                <w:color w:val="000000"/>
              </w:rPr>
              <w:t xml:space="preserve">aught by vessels having a maximum engine greater than 221 </w:t>
            </w:r>
            <w:proofErr w:type="gramStart"/>
            <w:r w:rsidRPr="00840FD8">
              <w:rPr>
                <w:rFonts w:ascii="Calibri" w:hAnsi="Calibri" w:cs="Calibri"/>
                <w:color w:val="000000"/>
              </w:rPr>
              <w:t>kW, and</w:t>
            </w:r>
            <w:proofErr w:type="gramEnd"/>
            <w:r w:rsidRPr="00840FD8">
              <w:rPr>
                <w:rFonts w:ascii="Calibri" w:hAnsi="Calibri" w:cs="Calibri"/>
                <w:color w:val="000000"/>
              </w:rPr>
              <w:t xml:space="preserve"> using beam trawls fitted with a flip-up rope or benthic release panel</w:t>
            </w:r>
            <w:r>
              <w:rPr>
                <w:rFonts w:ascii="Calibri" w:hAnsi="Calibri" w:cs="Calibri"/>
                <w:color w:val="000000"/>
              </w:rPr>
              <w:t>.</w:t>
            </w:r>
          </w:p>
          <w:p w14:paraId="30F25F39" w14:textId="77777777" w:rsidR="006D6B27" w:rsidRDefault="006D6B27" w:rsidP="00776CF9">
            <w:pPr>
              <w:rPr>
                <w:rFonts w:ascii="Calibri" w:hAnsi="Calibri" w:cs="Calibri"/>
                <w:color w:val="000000"/>
              </w:rPr>
            </w:pPr>
          </w:p>
          <w:p w14:paraId="2FEBA142" w14:textId="1A53B72A" w:rsidR="006D6B27" w:rsidRPr="0035553B" w:rsidRDefault="006D6B27" w:rsidP="00776CF9">
            <w:pPr>
              <w:rPr>
                <w:rFonts w:ascii="Calibri" w:hAnsi="Calibri" w:cs="Calibri"/>
                <w:color w:val="000000"/>
              </w:rPr>
            </w:pPr>
            <w:r>
              <w:rPr>
                <w:rFonts w:ascii="Calibri" w:hAnsi="Calibri" w:cs="Calibri"/>
                <w:color w:val="000000"/>
              </w:rPr>
              <w:t xml:space="preserve">Data provided by MS to </w:t>
            </w:r>
            <w:r w:rsidRPr="006D6B27">
              <w:rPr>
                <w:rFonts w:ascii="Calibri" w:hAnsi="Calibri" w:cs="Calibri"/>
                <w:color w:val="000000"/>
              </w:rPr>
              <w:t xml:space="preserve">demonstrate high discard survival rates for plaice do not cover all the </w:t>
            </w:r>
            <w:r>
              <w:rPr>
                <w:rFonts w:ascii="Calibri" w:hAnsi="Calibri" w:cs="Calibri"/>
                <w:color w:val="000000"/>
              </w:rPr>
              <w:t>MS</w:t>
            </w:r>
            <w:r w:rsidRPr="006D6B27">
              <w:rPr>
                <w:rFonts w:ascii="Calibri" w:hAnsi="Calibri" w:cs="Calibri"/>
                <w:color w:val="000000"/>
              </w:rPr>
              <w:t xml:space="preserve"> concerned and that in that fishery survivability is affected by many factors and is highly variable. </w:t>
            </w:r>
          </w:p>
        </w:tc>
        <w:tc>
          <w:tcPr>
            <w:tcW w:w="5347" w:type="dxa"/>
          </w:tcPr>
          <w:p w14:paraId="7D961F50" w14:textId="26BAEACC" w:rsidR="00D052FC" w:rsidRDefault="00840FD8" w:rsidP="00776CF9">
            <w:pPr>
              <w:rPr>
                <w:rFonts w:ascii="Calibri" w:hAnsi="Calibri" w:cs="Calibri"/>
                <w:color w:val="000000"/>
              </w:rPr>
            </w:pPr>
            <w:r w:rsidRPr="00782C38">
              <w:rPr>
                <w:rFonts w:ascii="Calibri" w:hAnsi="Calibri" w:cs="Calibri"/>
                <w:color w:val="000000"/>
              </w:rPr>
              <w:t>Further survivability studies in fisheries other than beam trawls should be prior</w:t>
            </w:r>
            <w:r>
              <w:rPr>
                <w:rFonts w:ascii="Calibri" w:hAnsi="Calibri" w:cs="Calibri"/>
                <w:color w:val="000000"/>
              </w:rPr>
              <w:t>i</w:t>
            </w:r>
            <w:r w:rsidRPr="00782C38">
              <w:rPr>
                <w:rFonts w:ascii="Calibri" w:hAnsi="Calibri" w:cs="Calibri"/>
                <w:color w:val="000000"/>
              </w:rPr>
              <w:t>tised with special effort will be made to collect vitality estimates, obtained by observers on-board, and the collation of existing data sources (previous vitality, observer and REM data) for plaice in 7h.</w:t>
            </w:r>
          </w:p>
        </w:tc>
      </w:tr>
      <w:tr w:rsidR="00840FD8" w14:paraId="7F9F94B5" w14:textId="77777777" w:rsidTr="00DA1D90">
        <w:tc>
          <w:tcPr>
            <w:tcW w:w="1508" w:type="dxa"/>
          </w:tcPr>
          <w:p w14:paraId="41C38729" w14:textId="0C574314" w:rsidR="00840FD8" w:rsidRDefault="00840FD8" w:rsidP="00776CF9">
            <w:pPr>
              <w:rPr>
                <w:rFonts w:ascii="Calibri" w:hAnsi="Calibri" w:cs="Calibri"/>
                <w:b/>
                <w:bCs/>
                <w:color w:val="000000"/>
              </w:rPr>
            </w:pPr>
            <w:r>
              <w:rPr>
                <w:rFonts w:ascii="Calibri" w:hAnsi="Calibri" w:cs="Calibri"/>
                <w:b/>
                <w:bCs/>
                <w:color w:val="000000"/>
              </w:rPr>
              <w:t>Plaice 7a-7k (temporary 7h, j, k)</w:t>
            </w:r>
          </w:p>
        </w:tc>
        <w:tc>
          <w:tcPr>
            <w:tcW w:w="6181" w:type="dxa"/>
          </w:tcPr>
          <w:p w14:paraId="67D70136" w14:textId="77777777" w:rsidR="00840FD8" w:rsidRDefault="00840FD8" w:rsidP="00776CF9">
            <w:pPr>
              <w:rPr>
                <w:rFonts w:ascii="Calibri" w:hAnsi="Calibri" w:cs="Calibri"/>
                <w:color w:val="000000"/>
              </w:rPr>
            </w:pPr>
            <w:r>
              <w:rPr>
                <w:rFonts w:ascii="Calibri" w:hAnsi="Calibri" w:cs="Calibri"/>
                <w:color w:val="000000"/>
              </w:rPr>
              <w:t xml:space="preserve">Caught </w:t>
            </w:r>
            <w:r w:rsidRPr="00840FD8">
              <w:rPr>
                <w:rFonts w:ascii="Calibri" w:hAnsi="Calibri" w:cs="Calibri"/>
                <w:color w:val="000000"/>
              </w:rPr>
              <w:t>by vessels using beam trawls, having a maximum engine power of 221 kW or a maximum length of 24 meters, which are constructed to fish within 12 nautical miles of the coast and with average tow durations of no more than 1:30 hour</w:t>
            </w:r>
            <w:r>
              <w:rPr>
                <w:rFonts w:ascii="Calibri" w:hAnsi="Calibri" w:cs="Calibri"/>
                <w:color w:val="000000"/>
              </w:rPr>
              <w:t>s.</w:t>
            </w:r>
          </w:p>
          <w:p w14:paraId="1279943F" w14:textId="77777777" w:rsidR="006D6B27" w:rsidRDefault="006D6B27" w:rsidP="00776CF9">
            <w:pPr>
              <w:rPr>
                <w:rFonts w:ascii="Calibri" w:hAnsi="Calibri" w:cs="Calibri"/>
                <w:color w:val="000000"/>
              </w:rPr>
            </w:pPr>
          </w:p>
          <w:p w14:paraId="052517F9" w14:textId="5D38E01E" w:rsidR="006D6B27" w:rsidRPr="0035553B" w:rsidRDefault="006D6B27" w:rsidP="00776CF9">
            <w:pPr>
              <w:rPr>
                <w:rFonts w:ascii="Calibri" w:hAnsi="Calibri" w:cs="Calibri"/>
                <w:color w:val="000000"/>
              </w:rPr>
            </w:pPr>
            <w:r>
              <w:rPr>
                <w:rFonts w:ascii="Calibri" w:hAnsi="Calibri" w:cs="Calibri"/>
                <w:color w:val="000000"/>
              </w:rPr>
              <w:t xml:space="preserve">Data provided by MS to </w:t>
            </w:r>
            <w:r w:rsidRPr="006D6B27">
              <w:rPr>
                <w:rFonts w:ascii="Calibri" w:hAnsi="Calibri" w:cs="Calibri"/>
                <w:color w:val="000000"/>
              </w:rPr>
              <w:t xml:space="preserve">demonstrate high discard survival rates for plaice do not cover all the </w:t>
            </w:r>
            <w:r>
              <w:rPr>
                <w:rFonts w:ascii="Calibri" w:hAnsi="Calibri" w:cs="Calibri"/>
                <w:color w:val="000000"/>
              </w:rPr>
              <w:t>MS</w:t>
            </w:r>
            <w:r w:rsidRPr="006D6B27">
              <w:rPr>
                <w:rFonts w:ascii="Calibri" w:hAnsi="Calibri" w:cs="Calibri"/>
                <w:color w:val="000000"/>
              </w:rPr>
              <w:t xml:space="preserve"> concerned and that in that fishery survivability is affected by many factors and is highly variable.</w:t>
            </w:r>
          </w:p>
        </w:tc>
        <w:tc>
          <w:tcPr>
            <w:tcW w:w="5347" w:type="dxa"/>
          </w:tcPr>
          <w:p w14:paraId="7B156A65" w14:textId="6BCE4F4D" w:rsidR="00840FD8" w:rsidRDefault="00840FD8" w:rsidP="00776CF9">
            <w:pPr>
              <w:rPr>
                <w:rFonts w:ascii="Calibri" w:hAnsi="Calibri" w:cs="Calibri"/>
                <w:color w:val="000000"/>
              </w:rPr>
            </w:pPr>
            <w:r w:rsidRPr="00782C38">
              <w:rPr>
                <w:rFonts w:ascii="Calibri" w:hAnsi="Calibri" w:cs="Calibri"/>
                <w:color w:val="000000"/>
              </w:rPr>
              <w:t>Further survivability studies in fisheries other than beam trawls should be prior</w:t>
            </w:r>
            <w:r>
              <w:rPr>
                <w:rFonts w:ascii="Calibri" w:hAnsi="Calibri" w:cs="Calibri"/>
                <w:color w:val="000000"/>
              </w:rPr>
              <w:t>i</w:t>
            </w:r>
            <w:r w:rsidRPr="00782C38">
              <w:rPr>
                <w:rFonts w:ascii="Calibri" w:hAnsi="Calibri" w:cs="Calibri"/>
                <w:color w:val="000000"/>
              </w:rPr>
              <w:t>tised with special effort will be made to collect vitality estimates, obtained by observers on-board, and the collation of existing data sources (previous vitality, observer and REM data) for plaice in 7h.</w:t>
            </w:r>
          </w:p>
        </w:tc>
      </w:tr>
      <w:tr w:rsidR="00D052FC" w14:paraId="3E8471EA" w14:textId="77777777" w:rsidTr="00DA1D90">
        <w:tc>
          <w:tcPr>
            <w:tcW w:w="1508" w:type="dxa"/>
          </w:tcPr>
          <w:p w14:paraId="5847DB28" w14:textId="644A2148" w:rsidR="00D052FC" w:rsidRDefault="00840FD8" w:rsidP="00776CF9">
            <w:pPr>
              <w:rPr>
                <w:rFonts w:ascii="Calibri" w:hAnsi="Calibri" w:cs="Calibri"/>
                <w:b/>
                <w:bCs/>
                <w:color w:val="000000"/>
              </w:rPr>
            </w:pPr>
            <w:r>
              <w:rPr>
                <w:rFonts w:ascii="Calibri" w:hAnsi="Calibri" w:cs="Calibri"/>
                <w:b/>
                <w:bCs/>
                <w:color w:val="000000"/>
              </w:rPr>
              <w:t>Plaice 7d</w:t>
            </w:r>
          </w:p>
        </w:tc>
        <w:tc>
          <w:tcPr>
            <w:tcW w:w="6181" w:type="dxa"/>
          </w:tcPr>
          <w:p w14:paraId="57AF62F3" w14:textId="3D9859F0" w:rsidR="00D052FC" w:rsidRPr="0035553B" w:rsidRDefault="00840FD8" w:rsidP="00776CF9">
            <w:pPr>
              <w:rPr>
                <w:rFonts w:ascii="Calibri" w:hAnsi="Calibri" w:cs="Calibri"/>
                <w:color w:val="000000"/>
              </w:rPr>
            </w:pPr>
            <w:r w:rsidRPr="0035553B">
              <w:rPr>
                <w:rFonts w:ascii="Calibri" w:hAnsi="Calibri" w:cs="Calibri"/>
                <w:color w:val="000000"/>
              </w:rPr>
              <w:t>High survivability exemption for plaice caught with Danish seines</w:t>
            </w:r>
            <w:r>
              <w:rPr>
                <w:rFonts w:ascii="Calibri" w:hAnsi="Calibri" w:cs="Calibri"/>
                <w:color w:val="000000"/>
              </w:rPr>
              <w:t>.</w:t>
            </w:r>
          </w:p>
        </w:tc>
        <w:tc>
          <w:tcPr>
            <w:tcW w:w="5347" w:type="dxa"/>
          </w:tcPr>
          <w:p w14:paraId="7E73E0CF" w14:textId="7739B322" w:rsidR="00D052FC" w:rsidRDefault="00E9119A" w:rsidP="00776CF9">
            <w:pPr>
              <w:rPr>
                <w:rFonts w:ascii="Calibri" w:hAnsi="Calibri" w:cs="Calibri"/>
                <w:color w:val="000000"/>
              </w:rPr>
            </w:pPr>
            <w:r>
              <w:rPr>
                <w:rFonts w:ascii="Calibri" w:hAnsi="Calibri" w:cs="Calibri"/>
                <w:color w:val="000000"/>
              </w:rPr>
              <w:t>Further survivability work should be prioritised to confirm survival rates.</w:t>
            </w:r>
          </w:p>
        </w:tc>
      </w:tr>
      <w:tr w:rsidR="00840FD8" w14:paraId="14EE9697" w14:textId="77777777" w:rsidTr="00DA1D90">
        <w:tc>
          <w:tcPr>
            <w:tcW w:w="1508" w:type="dxa"/>
          </w:tcPr>
          <w:p w14:paraId="09472B0F" w14:textId="789664C2" w:rsidR="00840FD8" w:rsidRDefault="00840FD8" w:rsidP="00776CF9">
            <w:pPr>
              <w:rPr>
                <w:rFonts w:ascii="Calibri" w:hAnsi="Calibri" w:cs="Calibri"/>
                <w:b/>
                <w:bCs/>
                <w:color w:val="000000"/>
              </w:rPr>
            </w:pPr>
            <w:r>
              <w:rPr>
                <w:rFonts w:ascii="Calibri" w:hAnsi="Calibri" w:cs="Calibri"/>
                <w:b/>
                <w:bCs/>
                <w:color w:val="000000"/>
              </w:rPr>
              <w:t>5b, 6 and 7</w:t>
            </w:r>
          </w:p>
        </w:tc>
        <w:tc>
          <w:tcPr>
            <w:tcW w:w="6181" w:type="dxa"/>
          </w:tcPr>
          <w:p w14:paraId="0A4B9E84" w14:textId="5730A1BB" w:rsidR="00840FD8" w:rsidRPr="0035553B" w:rsidRDefault="00840FD8" w:rsidP="00776CF9">
            <w:pPr>
              <w:rPr>
                <w:rFonts w:ascii="Calibri" w:hAnsi="Calibri" w:cs="Calibri"/>
                <w:color w:val="000000"/>
              </w:rPr>
            </w:pPr>
            <w:r>
              <w:rPr>
                <w:rFonts w:ascii="Calibri" w:hAnsi="Calibri" w:cs="Calibri"/>
                <w:color w:val="000000"/>
              </w:rPr>
              <w:t>S</w:t>
            </w:r>
            <w:r w:rsidRPr="00840FD8">
              <w:rPr>
                <w:rFonts w:ascii="Calibri" w:hAnsi="Calibri" w:cs="Calibri"/>
                <w:color w:val="000000"/>
              </w:rPr>
              <w:t>pecies caught with pots, traps and creels</w:t>
            </w:r>
            <w:r>
              <w:rPr>
                <w:rFonts w:ascii="Calibri" w:hAnsi="Calibri" w:cs="Calibri"/>
                <w:color w:val="000000"/>
              </w:rPr>
              <w:t>.</w:t>
            </w:r>
          </w:p>
        </w:tc>
        <w:tc>
          <w:tcPr>
            <w:tcW w:w="5347" w:type="dxa"/>
          </w:tcPr>
          <w:p w14:paraId="120CED0C" w14:textId="77777777" w:rsidR="00840FD8" w:rsidRDefault="00840FD8" w:rsidP="00776CF9">
            <w:pPr>
              <w:rPr>
                <w:rFonts w:ascii="Calibri" w:hAnsi="Calibri" w:cs="Calibri"/>
                <w:color w:val="000000"/>
              </w:rPr>
            </w:pPr>
          </w:p>
        </w:tc>
      </w:tr>
    </w:tbl>
    <w:p w14:paraId="339681F9" w14:textId="6E5526F2" w:rsidR="001809C0" w:rsidRDefault="001809C0" w:rsidP="001809C0">
      <w:pPr>
        <w:rPr>
          <w:b/>
          <w:bCs/>
          <w:lang w:val="en-US"/>
        </w:rPr>
      </w:pPr>
    </w:p>
    <w:p w14:paraId="53C4035B" w14:textId="44D0233B" w:rsidR="00782C38" w:rsidRDefault="00782C38" w:rsidP="001809C0">
      <w:pPr>
        <w:rPr>
          <w:b/>
          <w:bCs/>
          <w:lang w:val="en-US"/>
        </w:rPr>
      </w:pPr>
      <w:r>
        <w:rPr>
          <w:b/>
          <w:bCs/>
          <w:lang w:val="en-US"/>
        </w:rPr>
        <w:t>De minimis exemptions</w:t>
      </w:r>
    </w:p>
    <w:tbl>
      <w:tblPr>
        <w:tblStyle w:val="TableGrid"/>
        <w:tblW w:w="13036" w:type="dxa"/>
        <w:tblLook w:val="04A0" w:firstRow="1" w:lastRow="0" w:firstColumn="1" w:lastColumn="0" w:noHBand="0" w:noVBand="1"/>
      </w:tblPr>
      <w:tblGrid>
        <w:gridCol w:w="1555"/>
        <w:gridCol w:w="6095"/>
        <w:gridCol w:w="5386"/>
      </w:tblGrid>
      <w:tr w:rsidR="0052790A" w14:paraId="34A0C7F1" w14:textId="77777777" w:rsidTr="00DA1D90">
        <w:tc>
          <w:tcPr>
            <w:tcW w:w="1555" w:type="dxa"/>
          </w:tcPr>
          <w:p w14:paraId="54EDB968" w14:textId="22B5A6E8" w:rsidR="0052790A" w:rsidRDefault="0052790A" w:rsidP="0052790A">
            <w:pPr>
              <w:rPr>
                <w:b/>
                <w:bCs/>
                <w:lang w:val="en-US"/>
              </w:rPr>
            </w:pPr>
            <w:r>
              <w:rPr>
                <w:b/>
                <w:bCs/>
                <w:lang w:val="en-US"/>
              </w:rPr>
              <w:t>Stock</w:t>
            </w:r>
          </w:p>
        </w:tc>
        <w:tc>
          <w:tcPr>
            <w:tcW w:w="6095" w:type="dxa"/>
          </w:tcPr>
          <w:p w14:paraId="3EEEB2DB" w14:textId="401C2A41" w:rsidR="0052790A" w:rsidRDefault="0052790A" w:rsidP="0052790A">
            <w:pPr>
              <w:rPr>
                <w:b/>
                <w:bCs/>
                <w:lang w:val="en-US"/>
              </w:rPr>
            </w:pPr>
            <w:r>
              <w:rPr>
                <w:b/>
                <w:bCs/>
                <w:lang w:val="en-US"/>
              </w:rPr>
              <w:t>Discard Plan 2019</w:t>
            </w:r>
          </w:p>
        </w:tc>
        <w:tc>
          <w:tcPr>
            <w:tcW w:w="5386" w:type="dxa"/>
          </w:tcPr>
          <w:p w14:paraId="665060DC" w14:textId="6CC2087E" w:rsidR="0052790A" w:rsidRDefault="0052790A" w:rsidP="0052790A">
            <w:pPr>
              <w:rPr>
                <w:b/>
                <w:bCs/>
                <w:lang w:val="en-US"/>
              </w:rPr>
            </w:pPr>
            <w:r>
              <w:rPr>
                <w:b/>
                <w:bCs/>
                <w:lang w:val="en-US"/>
              </w:rPr>
              <w:t>NWWAC advice (Choke ID 2019)</w:t>
            </w:r>
          </w:p>
        </w:tc>
      </w:tr>
      <w:tr w:rsidR="00840FD8" w14:paraId="0B45A952" w14:textId="77777777" w:rsidTr="00DA1D90">
        <w:tc>
          <w:tcPr>
            <w:tcW w:w="1555" w:type="dxa"/>
          </w:tcPr>
          <w:p w14:paraId="0A759CC3" w14:textId="12A0329F" w:rsidR="00840FD8" w:rsidRDefault="00840FD8" w:rsidP="00782C38">
            <w:pPr>
              <w:rPr>
                <w:b/>
                <w:bCs/>
                <w:lang w:val="en-US"/>
              </w:rPr>
            </w:pPr>
            <w:r>
              <w:rPr>
                <w:b/>
                <w:bCs/>
                <w:lang w:val="en-US"/>
              </w:rPr>
              <w:t>Whiting 7b-k</w:t>
            </w:r>
          </w:p>
        </w:tc>
        <w:tc>
          <w:tcPr>
            <w:tcW w:w="6095" w:type="dxa"/>
          </w:tcPr>
          <w:p w14:paraId="5D0B9B29" w14:textId="7F4AE0C6" w:rsidR="00840FD8" w:rsidRDefault="00840FD8" w:rsidP="00782C38">
            <w:pPr>
              <w:rPr>
                <w:lang w:val="en-US"/>
              </w:rPr>
            </w:pPr>
            <w:r>
              <w:rPr>
                <w:lang w:val="en-US"/>
              </w:rPr>
              <w:t>Up</w:t>
            </w:r>
            <w:r w:rsidRPr="00840FD8">
              <w:rPr>
                <w:lang w:val="en-US"/>
              </w:rPr>
              <w:t xml:space="preserve"> to a maximum of 5 % of the total annual catches of that species by vessels using bottom trawls and seines with a mesh size equal to or greater than 80 mm, pelagic trawls and beam trawls with a mesh size of 80-119 mm</w:t>
            </w:r>
            <w:r>
              <w:rPr>
                <w:lang w:val="en-US"/>
              </w:rPr>
              <w:t>.</w:t>
            </w:r>
          </w:p>
        </w:tc>
        <w:tc>
          <w:tcPr>
            <w:tcW w:w="5386" w:type="dxa"/>
          </w:tcPr>
          <w:p w14:paraId="592277C2" w14:textId="77777777" w:rsidR="006D6B27" w:rsidRPr="006D6B27" w:rsidRDefault="006D6B27" w:rsidP="006D6B27">
            <w:pPr>
              <w:rPr>
                <w:lang w:val="en-US"/>
              </w:rPr>
            </w:pPr>
            <w:r w:rsidRPr="006D6B27">
              <w:rPr>
                <w:lang w:val="en-US"/>
              </w:rPr>
              <w:t>Improving selectivity for whiting in fisheries where unwanted catches are highest should remain a priority.</w:t>
            </w:r>
          </w:p>
          <w:p w14:paraId="214C682F" w14:textId="1A5922AC" w:rsidR="00840FD8" w:rsidRDefault="006D6B27" w:rsidP="006D6B27">
            <w:pPr>
              <w:rPr>
                <w:b/>
                <w:bCs/>
                <w:lang w:val="en-US"/>
              </w:rPr>
            </w:pPr>
            <w:r w:rsidRPr="006D6B27">
              <w:rPr>
                <w:lang w:val="en-US"/>
              </w:rPr>
              <w:t>The effectiveness of the selectivity measures introduced in 2019 should be monitored during 2020.</w:t>
            </w:r>
            <w:r w:rsidRPr="006D6B27">
              <w:rPr>
                <w:b/>
                <w:bCs/>
                <w:lang w:val="en-US"/>
              </w:rPr>
              <w:t xml:space="preserve">  </w:t>
            </w:r>
          </w:p>
        </w:tc>
      </w:tr>
      <w:tr w:rsidR="00840FD8" w14:paraId="333E1734" w14:textId="77777777" w:rsidTr="00DA1D90">
        <w:tc>
          <w:tcPr>
            <w:tcW w:w="1555" w:type="dxa"/>
          </w:tcPr>
          <w:p w14:paraId="7EBC4FF0" w14:textId="1B6D9F34" w:rsidR="00840FD8" w:rsidRDefault="00840FD8" w:rsidP="00782C38">
            <w:pPr>
              <w:rPr>
                <w:b/>
                <w:bCs/>
                <w:lang w:val="en-US"/>
              </w:rPr>
            </w:pPr>
            <w:r>
              <w:rPr>
                <w:b/>
                <w:bCs/>
                <w:lang w:val="en-US"/>
              </w:rPr>
              <w:lastRenderedPageBreak/>
              <w:t>Sole 7d-g</w:t>
            </w:r>
          </w:p>
        </w:tc>
        <w:tc>
          <w:tcPr>
            <w:tcW w:w="6095" w:type="dxa"/>
          </w:tcPr>
          <w:p w14:paraId="1953B149" w14:textId="5547FC53" w:rsidR="00840FD8" w:rsidRDefault="00840FD8" w:rsidP="00782C38">
            <w:pPr>
              <w:rPr>
                <w:lang w:val="en-US"/>
              </w:rPr>
            </w:pPr>
            <w:r>
              <w:rPr>
                <w:lang w:val="en-US"/>
              </w:rPr>
              <w:t>U</w:t>
            </w:r>
            <w:r w:rsidRPr="00840FD8">
              <w:rPr>
                <w:lang w:val="en-US"/>
              </w:rPr>
              <w:t>p to a maximum of 3 % of the total annual catches of that species by vessels using trammel and gill nets</w:t>
            </w:r>
            <w:r>
              <w:rPr>
                <w:lang w:val="en-US"/>
              </w:rPr>
              <w:t>.</w:t>
            </w:r>
          </w:p>
        </w:tc>
        <w:tc>
          <w:tcPr>
            <w:tcW w:w="5386" w:type="dxa"/>
          </w:tcPr>
          <w:p w14:paraId="704483CA" w14:textId="77777777" w:rsidR="00E9119A" w:rsidRPr="00E9119A" w:rsidRDefault="00E9119A" w:rsidP="00E9119A">
            <w:pPr>
              <w:rPr>
                <w:lang w:val="en-US"/>
              </w:rPr>
            </w:pPr>
            <w:proofErr w:type="spellStart"/>
            <w:r w:rsidRPr="00E9119A">
              <w:rPr>
                <w:lang w:val="en-US"/>
              </w:rPr>
              <w:t>Prioritise</w:t>
            </w:r>
            <w:proofErr w:type="spellEnd"/>
            <w:r w:rsidRPr="00E9119A">
              <w:rPr>
                <w:lang w:val="en-US"/>
              </w:rPr>
              <w:t xml:space="preserve"> high survivability work in fisheries in 7</w:t>
            </w:r>
            <w:proofErr w:type="gramStart"/>
            <w:r w:rsidRPr="00E9119A">
              <w:rPr>
                <w:lang w:val="en-US"/>
              </w:rPr>
              <w:t>f,g</w:t>
            </w:r>
            <w:proofErr w:type="gramEnd"/>
            <w:r w:rsidRPr="00E9119A">
              <w:rPr>
                <w:lang w:val="en-US"/>
              </w:rPr>
              <w:t>;</w:t>
            </w:r>
          </w:p>
          <w:p w14:paraId="3AC5042D" w14:textId="2136AD4E" w:rsidR="00840FD8" w:rsidRDefault="00E9119A" w:rsidP="00E9119A">
            <w:pPr>
              <w:rPr>
                <w:b/>
                <w:bCs/>
                <w:lang w:val="en-US"/>
              </w:rPr>
            </w:pPr>
            <w:r w:rsidRPr="00E9119A">
              <w:rPr>
                <w:lang w:val="en-US"/>
              </w:rPr>
              <w:t>Monitor effectiveness of selectivity measures introduced.</w:t>
            </w:r>
          </w:p>
        </w:tc>
      </w:tr>
      <w:tr w:rsidR="00840FD8" w14:paraId="2313264B" w14:textId="77777777" w:rsidTr="00DA1D90">
        <w:tc>
          <w:tcPr>
            <w:tcW w:w="1555" w:type="dxa"/>
          </w:tcPr>
          <w:p w14:paraId="20E03E07" w14:textId="0030A202" w:rsidR="00840FD8" w:rsidRDefault="00840FD8" w:rsidP="00782C38">
            <w:pPr>
              <w:rPr>
                <w:b/>
                <w:bCs/>
                <w:lang w:val="en-US"/>
              </w:rPr>
            </w:pPr>
            <w:r>
              <w:rPr>
                <w:b/>
                <w:bCs/>
                <w:lang w:val="en-US"/>
              </w:rPr>
              <w:t>Sole 7d-g</w:t>
            </w:r>
          </w:p>
        </w:tc>
        <w:tc>
          <w:tcPr>
            <w:tcW w:w="6095" w:type="dxa"/>
          </w:tcPr>
          <w:p w14:paraId="55B85621" w14:textId="50A58A79" w:rsidR="00840FD8" w:rsidRDefault="00840FD8" w:rsidP="00782C38">
            <w:pPr>
              <w:rPr>
                <w:lang w:val="en-US"/>
              </w:rPr>
            </w:pPr>
            <w:r>
              <w:rPr>
                <w:lang w:val="en-US"/>
              </w:rPr>
              <w:t>U</w:t>
            </w:r>
            <w:r w:rsidRPr="00840FD8">
              <w:rPr>
                <w:lang w:val="en-US"/>
              </w:rPr>
              <w:t xml:space="preserve">p to a maximum of 3 % of the total annual catches of that species by vessels using </w:t>
            </w:r>
            <w:r w:rsidR="00DA1D90">
              <w:rPr>
                <w:lang w:val="en-US"/>
              </w:rPr>
              <w:t xml:space="preserve">beam trawls </w:t>
            </w:r>
            <w:r w:rsidRPr="00840FD8">
              <w:rPr>
                <w:lang w:val="en-US"/>
              </w:rPr>
              <w:t>with a mesh size of 80-119 mm equipped with Flemish panel</w:t>
            </w:r>
            <w:r>
              <w:rPr>
                <w:lang w:val="en-US"/>
              </w:rPr>
              <w:t>.</w:t>
            </w:r>
          </w:p>
        </w:tc>
        <w:tc>
          <w:tcPr>
            <w:tcW w:w="5386" w:type="dxa"/>
          </w:tcPr>
          <w:p w14:paraId="68571DFC" w14:textId="77777777" w:rsidR="00E9119A" w:rsidRPr="00E9119A" w:rsidRDefault="00E9119A" w:rsidP="00E9119A">
            <w:pPr>
              <w:rPr>
                <w:lang w:val="en-US"/>
              </w:rPr>
            </w:pPr>
            <w:proofErr w:type="spellStart"/>
            <w:r w:rsidRPr="00E9119A">
              <w:rPr>
                <w:lang w:val="en-US"/>
              </w:rPr>
              <w:t>Prioritise</w:t>
            </w:r>
            <w:proofErr w:type="spellEnd"/>
            <w:r w:rsidRPr="00E9119A">
              <w:rPr>
                <w:lang w:val="en-US"/>
              </w:rPr>
              <w:t xml:space="preserve"> high survivability work in fisheries in 7</w:t>
            </w:r>
            <w:proofErr w:type="gramStart"/>
            <w:r w:rsidRPr="00E9119A">
              <w:rPr>
                <w:lang w:val="en-US"/>
              </w:rPr>
              <w:t>f,g</w:t>
            </w:r>
            <w:proofErr w:type="gramEnd"/>
            <w:r w:rsidRPr="00E9119A">
              <w:rPr>
                <w:lang w:val="en-US"/>
              </w:rPr>
              <w:t>;</w:t>
            </w:r>
          </w:p>
          <w:p w14:paraId="1BCD03B0" w14:textId="71263478" w:rsidR="00840FD8" w:rsidRDefault="00E9119A" w:rsidP="00E9119A">
            <w:pPr>
              <w:rPr>
                <w:b/>
                <w:bCs/>
                <w:lang w:val="en-US"/>
              </w:rPr>
            </w:pPr>
            <w:r w:rsidRPr="00E9119A">
              <w:rPr>
                <w:lang w:val="en-US"/>
              </w:rPr>
              <w:t>Monitor effectiveness of selectivity measures introduced.</w:t>
            </w:r>
          </w:p>
        </w:tc>
      </w:tr>
      <w:tr w:rsidR="00840FD8" w14:paraId="722AD5AC" w14:textId="77777777" w:rsidTr="00DA1D90">
        <w:tc>
          <w:tcPr>
            <w:tcW w:w="1555" w:type="dxa"/>
          </w:tcPr>
          <w:p w14:paraId="3FBC90D8" w14:textId="1CE6E92E" w:rsidR="00840FD8" w:rsidRDefault="00840FD8" w:rsidP="00782C38">
            <w:pPr>
              <w:rPr>
                <w:b/>
                <w:bCs/>
                <w:lang w:val="en-US"/>
              </w:rPr>
            </w:pPr>
            <w:r>
              <w:rPr>
                <w:b/>
                <w:bCs/>
                <w:lang w:val="en-US"/>
              </w:rPr>
              <w:t>Mackerel</w:t>
            </w:r>
            <w:r w:rsidR="00DA1D90">
              <w:rPr>
                <w:b/>
                <w:bCs/>
                <w:lang w:val="en-US"/>
              </w:rPr>
              <w:t xml:space="preserve"> 6 and 7b-k</w:t>
            </w:r>
          </w:p>
        </w:tc>
        <w:tc>
          <w:tcPr>
            <w:tcW w:w="6095" w:type="dxa"/>
          </w:tcPr>
          <w:p w14:paraId="400D7547" w14:textId="261C775C" w:rsidR="00840FD8" w:rsidRDefault="00DA1D90" w:rsidP="00782C38">
            <w:pPr>
              <w:rPr>
                <w:lang w:val="en-US"/>
              </w:rPr>
            </w:pPr>
            <w:r>
              <w:rPr>
                <w:lang w:val="en-US"/>
              </w:rPr>
              <w:t>U</w:t>
            </w:r>
            <w:r w:rsidRPr="00DA1D90">
              <w:rPr>
                <w:lang w:val="en-US"/>
              </w:rPr>
              <w:t>p to a maximum of 7 % in 2020 of the total annual by-catches of that species, caught in demersal mixed fisheries, by vessels using bottom trawls, seines and beam trawls</w:t>
            </w:r>
            <w:r>
              <w:rPr>
                <w:lang w:val="en-US"/>
              </w:rPr>
              <w:t>.</w:t>
            </w:r>
          </w:p>
        </w:tc>
        <w:tc>
          <w:tcPr>
            <w:tcW w:w="5386" w:type="dxa"/>
          </w:tcPr>
          <w:p w14:paraId="5F58F138" w14:textId="77777777" w:rsidR="00840FD8" w:rsidRDefault="00840FD8" w:rsidP="00782C38">
            <w:pPr>
              <w:rPr>
                <w:b/>
                <w:bCs/>
                <w:lang w:val="en-US"/>
              </w:rPr>
            </w:pPr>
          </w:p>
        </w:tc>
      </w:tr>
      <w:tr w:rsidR="00840FD8" w14:paraId="2CAE6BA4" w14:textId="77777777" w:rsidTr="00DA1D90">
        <w:tc>
          <w:tcPr>
            <w:tcW w:w="1555" w:type="dxa"/>
          </w:tcPr>
          <w:p w14:paraId="7CA09521" w14:textId="062572BF" w:rsidR="00840FD8" w:rsidRDefault="00840FD8" w:rsidP="00782C38">
            <w:pPr>
              <w:rPr>
                <w:b/>
                <w:bCs/>
                <w:lang w:val="en-US"/>
              </w:rPr>
            </w:pPr>
            <w:r>
              <w:rPr>
                <w:b/>
                <w:bCs/>
                <w:lang w:val="en-US"/>
              </w:rPr>
              <w:t xml:space="preserve">Horse Mackerel </w:t>
            </w:r>
            <w:r w:rsidR="00DA1D90">
              <w:rPr>
                <w:b/>
                <w:bCs/>
                <w:lang w:val="en-US"/>
              </w:rPr>
              <w:t>6 and 7b-k</w:t>
            </w:r>
          </w:p>
        </w:tc>
        <w:tc>
          <w:tcPr>
            <w:tcW w:w="6095" w:type="dxa"/>
          </w:tcPr>
          <w:p w14:paraId="37861C68" w14:textId="4EBF7970" w:rsidR="00840FD8" w:rsidRDefault="00840FD8" w:rsidP="00782C38">
            <w:pPr>
              <w:rPr>
                <w:lang w:val="en-US"/>
              </w:rPr>
            </w:pPr>
            <w:r>
              <w:rPr>
                <w:lang w:val="en-US"/>
              </w:rPr>
              <w:t>U</w:t>
            </w:r>
            <w:r w:rsidRPr="00840FD8">
              <w:rPr>
                <w:lang w:val="en-US"/>
              </w:rPr>
              <w:t>p to a maximum of 7 % in 2020 of the total annual by-catches of those species, caught in demersal mixed fisheries, by vessels using bottom trawls, seines and beam trawls</w:t>
            </w:r>
            <w:r w:rsidR="00DA1D90">
              <w:rPr>
                <w:lang w:val="en-US"/>
              </w:rPr>
              <w:t>.</w:t>
            </w:r>
          </w:p>
        </w:tc>
        <w:tc>
          <w:tcPr>
            <w:tcW w:w="5386" w:type="dxa"/>
          </w:tcPr>
          <w:p w14:paraId="2EFCA0B7" w14:textId="77777777" w:rsidR="00840FD8" w:rsidRDefault="00840FD8" w:rsidP="00782C38">
            <w:pPr>
              <w:rPr>
                <w:b/>
                <w:bCs/>
                <w:lang w:val="en-US"/>
              </w:rPr>
            </w:pPr>
          </w:p>
        </w:tc>
      </w:tr>
      <w:tr w:rsidR="00782C38" w14:paraId="4AE3E91F" w14:textId="77777777" w:rsidTr="00DA1D90">
        <w:tc>
          <w:tcPr>
            <w:tcW w:w="1555" w:type="dxa"/>
          </w:tcPr>
          <w:p w14:paraId="1723313C" w14:textId="1470DF19" w:rsidR="00782C38" w:rsidRDefault="00782C38" w:rsidP="00782C38">
            <w:pPr>
              <w:rPr>
                <w:b/>
                <w:bCs/>
                <w:lang w:val="en-US"/>
              </w:rPr>
            </w:pPr>
            <w:r>
              <w:rPr>
                <w:b/>
                <w:bCs/>
                <w:lang w:val="en-US"/>
              </w:rPr>
              <w:t>Haddock 6a</w:t>
            </w:r>
            <w:r w:rsidR="0052790A">
              <w:rPr>
                <w:b/>
                <w:bCs/>
                <w:lang w:val="en-US"/>
              </w:rPr>
              <w:t>*</w:t>
            </w:r>
          </w:p>
        </w:tc>
        <w:tc>
          <w:tcPr>
            <w:tcW w:w="6095" w:type="dxa"/>
          </w:tcPr>
          <w:p w14:paraId="2D682B18" w14:textId="77777777" w:rsidR="00E75F6B" w:rsidRDefault="00782C38" w:rsidP="00782C38">
            <w:pPr>
              <w:rPr>
                <w:lang w:val="en-US"/>
              </w:rPr>
            </w:pPr>
            <w:r>
              <w:rPr>
                <w:lang w:val="en-US"/>
              </w:rPr>
              <w:t>D</w:t>
            </w:r>
            <w:r w:rsidRPr="0035553B">
              <w:rPr>
                <w:lang w:val="en-US"/>
              </w:rPr>
              <w:t>e minimis exemption for haddock below MCRS caught by vessels</w:t>
            </w:r>
            <w:r>
              <w:rPr>
                <w:lang w:val="en-US"/>
              </w:rPr>
              <w:t xml:space="preserve"> </w:t>
            </w:r>
            <w:r w:rsidRPr="0035553B">
              <w:rPr>
                <w:lang w:val="en-US"/>
              </w:rPr>
              <w:t xml:space="preserve">using bottom trawls with a mesh size up to 119 mm in the West of Scotland </w:t>
            </w:r>
            <w:proofErr w:type="spellStart"/>
            <w:r w:rsidRPr="0035553B">
              <w:rPr>
                <w:lang w:val="en-US"/>
              </w:rPr>
              <w:t>Nephrops</w:t>
            </w:r>
            <w:proofErr w:type="spellEnd"/>
            <w:r w:rsidRPr="0035553B">
              <w:rPr>
                <w:lang w:val="en-US"/>
              </w:rPr>
              <w:t xml:space="preserve"> fishery</w:t>
            </w:r>
            <w:r>
              <w:rPr>
                <w:lang w:val="en-US"/>
              </w:rPr>
              <w:t>.</w:t>
            </w:r>
          </w:p>
          <w:p w14:paraId="04512F78" w14:textId="77777777" w:rsidR="00E75F6B" w:rsidRDefault="00E75F6B" w:rsidP="00782C38">
            <w:pPr>
              <w:rPr>
                <w:lang w:val="en-US"/>
              </w:rPr>
            </w:pPr>
          </w:p>
          <w:p w14:paraId="3C24859E" w14:textId="4DB98F21" w:rsidR="00782C38" w:rsidRDefault="00782C38" w:rsidP="00782C38">
            <w:pPr>
              <w:rPr>
                <w:b/>
                <w:bCs/>
                <w:lang w:val="en-US"/>
              </w:rPr>
            </w:pPr>
            <w:r w:rsidRPr="0035553B">
              <w:rPr>
                <w:lang w:val="en-US"/>
              </w:rPr>
              <w:t xml:space="preserve">STECF concluded that the justification for the analysis is based on an analysis of disproportionate cost of handling unwanted catches. STECF notes that the costs seem to be reasonable, however there is no objective means to assess whether they are realistic or can be considered disproportionate. </w:t>
            </w:r>
          </w:p>
        </w:tc>
        <w:tc>
          <w:tcPr>
            <w:tcW w:w="5386" w:type="dxa"/>
          </w:tcPr>
          <w:p w14:paraId="1582AAF2" w14:textId="77777777" w:rsidR="00782C38" w:rsidRPr="006D6B27" w:rsidRDefault="006D6B27" w:rsidP="00782C38">
            <w:pPr>
              <w:rPr>
                <w:lang w:val="en-US"/>
              </w:rPr>
            </w:pPr>
            <w:r w:rsidRPr="006D6B27">
              <w:rPr>
                <w:lang w:val="en-US"/>
              </w:rPr>
              <w:t>Accelerate introduction of technical measures and monitor effectiveness of the measures introduced.</w:t>
            </w:r>
          </w:p>
          <w:p w14:paraId="6026C86D" w14:textId="2100C676" w:rsidR="006D6B27" w:rsidRDefault="006D6B27" w:rsidP="00782C38">
            <w:pPr>
              <w:rPr>
                <w:b/>
                <w:bCs/>
                <w:lang w:val="en-US"/>
              </w:rPr>
            </w:pPr>
            <w:r w:rsidRPr="006D6B27">
              <w:rPr>
                <w:lang w:val="en-US"/>
              </w:rPr>
              <w:t>Explore spatial/temporal closures.</w:t>
            </w:r>
          </w:p>
        </w:tc>
      </w:tr>
      <w:tr w:rsidR="00782C38" w14:paraId="324BCC38" w14:textId="77777777" w:rsidTr="00DA1D90">
        <w:tc>
          <w:tcPr>
            <w:tcW w:w="1555" w:type="dxa"/>
          </w:tcPr>
          <w:p w14:paraId="247316D7" w14:textId="492B7DF3" w:rsidR="00782C38" w:rsidRDefault="00AF7FFA" w:rsidP="001809C0">
            <w:pPr>
              <w:rPr>
                <w:b/>
                <w:bCs/>
                <w:lang w:val="en-US"/>
              </w:rPr>
            </w:pPr>
            <w:r>
              <w:rPr>
                <w:b/>
                <w:bCs/>
                <w:lang w:val="en-US"/>
              </w:rPr>
              <w:t>Haddock 7b-c and 7e-k</w:t>
            </w:r>
            <w:r w:rsidR="0052790A">
              <w:rPr>
                <w:b/>
                <w:bCs/>
                <w:lang w:val="en-US"/>
              </w:rPr>
              <w:t>*</w:t>
            </w:r>
          </w:p>
        </w:tc>
        <w:tc>
          <w:tcPr>
            <w:tcW w:w="6095" w:type="dxa"/>
          </w:tcPr>
          <w:p w14:paraId="2329BBF3" w14:textId="77777777" w:rsidR="00782C38" w:rsidRDefault="00AF7FFA" w:rsidP="001809C0">
            <w:pPr>
              <w:rPr>
                <w:lang w:val="en-US"/>
              </w:rPr>
            </w:pPr>
            <w:r w:rsidRPr="00AF7FFA">
              <w:rPr>
                <w:lang w:val="en-US"/>
              </w:rPr>
              <w:t>Up to a maximum of 5 % in 2020 of the total annual catches of that species by vessels using bottom trawls, seines and beam trawls</w:t>
            </w:r>
            <w:r>
              <w:rPr>
                <w:lang w:val="en-US"/>
              </w:rPr>
              <w:t xml:space="preserve"> </w:t>
            </w:r>
            <w:r w:rsidRPr="00AF7FFA">
              <w:rPr>
                <w:lang w:val="en-US"/>
              </w:rPr>
              <w:t>with a mesh size greater than or equal to 80 mm</w:t>
            </w:r>
            <w:r>
              <w:rPr>
                <w:lang w:val="en-US"/>
              </w:rPr>
              <w:t xml:space="preserve">. </w:t>
            </w:r>
          </w:p>
          <w:p w14:paraId="374D0C56" w14:textId="77777777" w:rsidR="00E75F6B" w:rsidRDefault="00E75F6B" w:rsidP="001809C0">
            <w:pPr>
              <w:rPr>
                <w:lang w:val="en-US"/>
              </w:rPr>
            </w:pPr>
          </w:p>
          <w:p w14:paraId="6E400201" w14:textId="5C795795" w:rsidR="00E75F6B" w:rsidRPr="00AF7FFA" w:rsidRDefault="00E75F6B" w:rsidP="001809C0">
            <w:pPr>
              <w:rPr>
                <w:lang w:val="en-US"/>
              </w:rPr>
            </w:pPr>
            <w:r w:rsidRPr="00E75F6B">
              <w:rPr>
                <w:lang w:val="en-US"/>
              </w:rPr>
              <w:t xml:space="preserve">STECF concluded that information provided shows that improvements in selectivity for haddock are difficult to achieve without substantial short-term losses in marketable catches. STECF notes that specific technical measures in the Celtic Sea protection zone are expected to reduce unwanted catches of haddock to a lesser extent, but it is too early to evaluate the possible achievements. </w:t>
            </w:r>
          </w:p>
        </w:tc>
        <w:tc>
          <w:tcPr>
            <w:tcW w:w="5386" w:type="dxa"/>
          </w:tcPr>
          <w:p w14:paraId="4655CC8B" w14:textId="41CD775F" w:rsidR="006D6B27" w:rsidRPr="006D6B27" w:rsidRDefault="006D6B27" w:rsidP="006D6B27">
            <w:pPr>
              <w:rPr>
                <w:lang w:val="en-US"/>
              </w:rPr>
            </w:pPr>
            <w:r>
              <w:rPr>
                <w:lang w:val="en-US"/>
              </w:rPr>
              <w:t>I</w:t>
            </w:r>
            <w:r w:rsidRPr="006D6B27">
              <w:rPr>
                <w:lang w:val="en-US"/>
              </w:rPr>
              <w:t>mproving selectivity for haddock in fisheries where unwanted catches are highest should remain a priority.</w:t>
            </w:r>
          </w:p>
          <w:p w14:paraId="2899E0A4" w14:textId="6494DD84" w:rsidR="00782C38" w:rsidRPr="00AF7FFA" w:rsidRDefault="006D6B27" w:rsidP="006D6B27">
            <w:pPr>
              <w:rPr>
                <w:lang w:val="en-US"/>
              </w:rPr>
            </w:pPr>
            <w:r w:rsidRPr="006D6B27">
              <w:rPr>
                <w:lang w:val="en-US"/>
              </w:rPr>
              <w:t>The effectiveness of the selectivity measures introduced in 2019 should be monitored during 2020.</w:t>
            </w:r>
          </w:p>
        </w:tc>
      </w:tr>
      <w:tr w:rsidR="00782C38" w14:paraId="30AF9A27" w14:textId="77777777" w:rsidTr="00DA1D90">
        <w:tc>
          <w:tcPr>
            <w:tcW w:w="1555" w:type="dxa"/>
          </w:tcPr>
          <w:p w14:paraId="20E6559D" w14:textId="248BB223" w:rsidR="00782C38" w:rsidRDefault="00AF7FFA" w:rsidP="001809C0">
            <w:pPr>
              <w:rPr>
                <w:b/>
                <w:bCs/>
                <w:lang w:val="en-US"/>
              </w:rPr>
            </w:pPr>
            <w:r>
              <w:rPr>
                <w:b/>
                <w:bCs/>
                <w:lang w:val="en-US"/>
              </w:rPr>
              <w:lastRenderedPageBreak/>
              <w:t>Sole 7a</w:t>
            </w:r>
            <w:r w:rsidR="003C7DB9">
              <w:rPr>
                <w:b/>
                <w:bCs/>
                <w:lang w:val="en-US"/>
              </w:rPr>
              <w:t>, 7j and 7k</w:t>
            </w:r>
            <w:r w:rsidR="0052790A">
              <w:rPr>
                <w:b/>
                <w:bCs/>
                <w:lang w:val="en-US"/>
              </w:rPr>
              <w:t>*</w:t>
            </w:r>
          </w:p>
        </w:tc>
        <w:tc>
          <w:tcPr>
            <w:tcW w:w="6095" w:type="dxa"/>
          </w:tcPr>
          <w:p w14:paraId="096AAB54" w14:textId="77777777" w:rsidR="00782C38" w:rsidRDefault="00AF7FFA" w:rsidP="001809C0">
            <w:pPr>
              <w:rPr>
                <w:lang w:val="en-US"/>
              </w:rPr>
            </w:pPr>
            <w:r>
              <w:rPr>
                <w:lang w:val="en-US"/>
              </w:rPr>
              <w:t>U</w:t>
            </w:r>
            <w:r w:rsidRPr="00AF7FFA">
              <w:rPr>
                <w:lang w:val="en-US"/>
              </w:rPr>
              <w:t>p to a maximum of 3 % in 2020 of the total annual catches of that species by vessels using beam trawls with a mesh size of 80-119 mm</w:t>
            </w:r>
            <w:r>
              <w:rPr>
                <w:lang w:val="en-US"/>
              </w:rPr>
              <w:t xml:space="preserve"> </w:t>
            </w:r>
            <w:r w:rsidRPr="00AF7FFA">
              <w:rPr>
                <w:lang w:val="en-US"/>
              </w:rPr>
              <w:t>with increased selectivity (Flemish panel)</w:t>
            </w:r>
            <w:r>
              <w:rPr>
                <w:lang w:val="en-US"/>
              </w:rPr>
              <w:t>.</w:t>
            </w:r>
          </w:p>
          <w:p w14:paraId="70D56BCF" w14:textId="0DF59D62" w:rsidR="00E75F6B" w:rsidRDefault="00E75F6B" w:rsidP="001809C0">
            <w:pPr>
              <w:rPr>
                <w:lang w:val="en-US"/>
              </w:rPr>
            </w:pPr>
          </w:p>
          <w:p w14:paraId="22A36782" w14:textId="0E9C8FA9" w:rsidR="003C7DB9" w:rsidRDefault="003C7DB9" w:rsidP="001809C0">
            <w:pPr>
              <w:rPr>
                <w:lang w:val="en-US"/>
              </w:rPr>
            </w:pPr>
            <w:r>
              <w:t>Existing exemption but revised by increasing the scope to cover ICES divisions 7a, 7j and 7k. New information supplied is limited to a description of the numbers of Belgian and Irish beam trawls vessels involved in the fishery in 7a, j, k in 2016-2018 and their associated catches. It is not clear whether other Member States have vessels operating in the fishery. The justification for the exemption is the same as the existing de minimis exemption for common sole for beam trawls in the Channel (7d, 7e) and the Celtic Sea (7f, 7g, 7h). It is based on selectivity having improved through the introduction of gear modifications. The de minimis is required to cover residual unwanted catches. It is assumed that the fisheries covered by the existing exemption are the same fisheries and that the selective gear will be as effective at reducing unwanted catches of sole in the areas proposed to be included. However, no information has been provided to this effect.</w:t>
            </w:r>
          </w:p>
          <w:p w14:paraId="3F6F36A3" w14:textId="5C3B7A73" w:rsidR="00E75F6B" w:rsidRPr="00AF7FFA" w:rsidRDefault="00E75F6B" w:rsidP="001809C0">
            <w:pPr>
              <w:rPr>
                <w:lang w:val="en-US"/>
              </w:rPr>
            </w:pPr>
          </w:p>
        </w:tc>
        <w:tc>
          <w:tcPr>
            <w:tcW w:w="5386" w:type="dxa"/>
          </w:tcPr>
          <w:p w14:paraId="288FD373" w14:textId="551DF62F" w:rsidR="00782C38" w:rsidRPr="00AF7FFA" w:rsidRDefault="003C7DB9" w:rsidP="001809C0">
            <w:pPr>
              <w:rPr>
                <w:lang w:val="en-US"/>
              </w:rPr>
            </w:pPr>
            <w:proofErr w:type="spellStart"/>
            <w:r w:rsidRPr="00AF7FFA">
              <w:rPr>
                <w:lang w:val="en-US"/>
              </w:rPr>
              <w:t>Prior</w:t>
            </w:r>
            <w:r>
              <w:rPr>
                <w:lang w:val="en-US"/>
              </w:rPr>
              <w:t>i</w:t>
            </w:r>
            <w:r w:rsidRPr="00AF7FFA">
              <w:rPr>
                <w:lang w:val="en-US"/>
              </w:rPr>
              <w:t>tise</w:t>
            </w:r>
            <w:proofErr w:type="spellEnd"/>
            <w:r w:rsidRPr="00AF7FFA">
              <w:rPr>
                <w:lang w:val="en-US"/>
              </w:rPr>
              <w:t xml:space="preserve"> survivability experiments in trawl fisheries in 7</w:t>
            </w:r>
            <w:proofErr w:type="gramStart"/>
            <w:r w:rsidRPr="00AF7FFA">
              <w:rPr>
                <w:lang w:val="en-US"/>
              </w:rPr>
              <w:t>h,j</w:t>
            </w:r>
            <w:proofErr w:type="gramEnd"/>
            <w:r w:rsidRPr="00AF7FFA">
              <w:rPr>
                <w:lang w:val="en-US"/>
              </w:rPr>
              <w:t>,k</w:t>
            </w:r>
            <w:r w:rsidR="00E9119A">
              <w:rPr>
                <w:lang w:val="en-US"/>
              </w:rPr>
              <w:t xml:space="preserve">. </w:t>
            </w:r>
          </w:p>
        </w:tc>
      </w:tr>
      <w:tr w:rsidR="00782C38" w14:paraId="41B6C8CA" w14:textId="77777777" w:rsidTr="00DA1D90">
        <w:tc>
          <w:tcPr>
            <w:tcW w:w="1555" w:type="dxa"/>
          </w:tcPr>
          <w:p w14:paraId="38356251" w14:textId="1E3DC0E8" w:rsidR="00782C38" w:rsidRDefault="00AF7FFA" w:rsidP="001809C0">
            <w:pPr>
              <w:rPr>
                <w:b/>
                <w:bCs/>
                <w:lang w:val="en-US"/>
              </w:rPr>
            </w:pPr>
            <w:r>
              <w:rPr>
                <w:b/>
                <w:bCs/>
                <w:lang w:val="en-US"/>
              </w:rPr>
              <w:t>Megrim 7</w:t>
            </w:r>
            <w:r w:rsidR="0052790A">
              <w:rPr>
                <w:b/>
                <w:bCs/>
                <w:lang w:val="en-US"/>
              </w:rPr>
              <w:t>*</w:t>
            </w:r>
          </w:p>
        </w:tc>
        <w:tc>
          <w:tcPr>
            <w:tcW w:w="6095" w:type="dxa"/>
          </w:tcPr>
          <w:p w14:paraId="284911FF" w14:textId="77777777" w:rsidR="00782C38" w:rsidRDefault="00AF7FFA" w:rsidP="001809C0">
            <w:pPr>
              <w:rPr>
                <w:lang w:val="en-US"/>
              </w:rPr>
            </w:pPr>
            <w:r w:rsidRPr="00AF7FFA">
              <w:rPr>
                <w:lang w:val="en-US"/>
              </w:rPr>
              <w:t>Megrim below MCRS, up to a maximum of 5 % in 2020 of the total annual catches of those species by vessels using bottom trawls with a mesh size of 70-99 mm and beam trawls with a mesh size of 80-199 mm.</w:t>
            </w:r>
          </w:p>
          <w:p w14:paraId="4FE9662B" w14:textId="77777777" w:rsidR="003C7DB9" w:rsidRDefault="003C7DB9" w:rsidP="001809C0">
            <w:pPr>
              <w:rPr>
                <w:lang w:val="en-US"/>
              </w:rPr>
            </w:pPr>
          </w:p>
          <w:p w14:paraId="73098C9F" w14:textId="43E8FE87" w:rsidR="003C7DB9" w:rsidRPr="00AF7FFA" w:rsidRDefault="003C7DB9" w:rsidP="001809C0">
            <w:pPr>
              <w:rPr>
                <w:lang w:val="en-US"/>
              </w:rPr>
            </w:pPr>
            <w:r w:rsidRPr="003C7DB9">
              <w:rPr>
                <w:lang w:val="en-US"/>
              </w:rPr>
              <w:t xml:space="preserve">STECF concluded that limited data was provided by the Member States and the evidence that landing unwanted catches has an associated cost is not </w:t>
            </w:r>
            <w:proofErr w:type="gramStart"/>
            <w:r w:rsidRPr="003C7DB9">
              <w:rPr>
                <w:lang w:val="en-US"/>
              </w:rPr>
              <w:t>sufficient</w:t>
            </w:r>
            <w:proofErr w:type="gramEnd"/>
            <w:r w:rsidRPr="003C7DB9">
              <w:rPr>
                <w:lang w:val="en-US"/>
              </w:rPr>
              <w:t xml:space="preserve"> to demonstrate that those costs are disproportionate. The STECF notes that improving selectivity in the relevant fisheries should be the priority as it would reduce the costs for handling unwanted catches.</w:t>
            </w:r>
          </w:p>
        </w:tc>
        <w:tc>
          <w:tcPr>
            <w:tcW w:w="5386" w:type="dxa"/>
          </w:tcPr>
          <w:p w14:paraId="5064AFBD" w14:textId="5A7677AC" w:rsidR="00782C38" w:rsidRPr="00AF7FFA" w:rsidRDefault="00E9119A" w:rsidP="001809C0">
            <w:pPr>
              <w:rPr>
                <w:lang w:val="en-US"/>
              </w:rPr>
            </w:pPr>
            <w:proofErr w:type="spellStart"/>
            <w:r w:rsidRPr="00E9119A">
              <w:rPr>
                <w:lang w:val="en-US"/>
              </w:rPr>
              <w:t>Prioritise</w:t>
            </w:r>
            <w:proofErr w:type="spellEnd"/>
            <w:r w:rsidRPr="00E9119A">
              <w:rPr>
                <w:lang w:val="en-US"/>
              </w:rPr>
              <w:t xml:space="preserve"> improvements in selectivity proposed in fisheries where unwanted catches of megrim below </w:t>
            </w:r>
            <w:proofErr w:type="spellStart"/>
            <w:r w:rsidRPr="00E9119A">
              <w:rPr>
                <w:lang w:val="en-US"/>
              </w:rPr>
              <w:t>mcrs</w:t>
            </w:r>
            <w:proofErr w:type="spellEnd"/>
            <w:r w:rsidRPr="00E9119A">
              <w:rPr>
                <w:lang w:val="en-US"/>
              </w:rPr>
              <w:t xml:space="preserve"> are highest.</w:t>
            </w:r>
            <w:r>
              <w:rPr>
                <w:lang w:val="en-US"/>
              </w:rPr>
              <w:t xml:space="preserve"> </w:t>
            </w:r>
            <w:r w:rsidR="00AF7FFA" w:rsidRPr="00AF7FFA">
              <w:rPr>
                <w:lang w:val="en-US"/>
              </w:rPr>
              <w:t>Update information on disproportionate costs.</w:t>
            </w:r>
          </w:p>
        </w:tc>
      </w:tr>
      <w:tr w:rsidR="00E75F6B" w14:paraId="6CBD0AA1" w14:textId="77777777" w:rsidTr="00DA1D90">
        <w:tc>
          <w:tcPr>
            <w:tcW w:w="1555" w:type="dxa"/>
          </w:tcPr>
          <w:p w14:paraId="11B17B7E" w14:textId="421E561A" w:rsidR="00E75F6B" w:rsidRDefault="00E75F6B" w:rsidP="001809C0">
            <w:pPr>
              <w:rPr>
                <w:rFonts w:ascii="Calibri" w:hAnsi="Calibri" w:cs="Calibri"/>
                <w:b/>
                <w:bCs/>
                <w:color w:val="000000"/>
              </w:rPr>
            </w:pPr>
            <w:r>
              <w:rPr>
                <w:rFonts w:ascii="Calibri" w:hAnsi="Calibri" w:cs="Calibri"/>
                <w:b/>
                <w:bCs/>
                <w:color w:val="000000"/>
              </w:rPr>
              <w:lastRenderedPageBreak/>
              <w:t>Greater silver smelt 5b and 6</w:t>
            </w:r>
            <w:r w:rsidR="0052790A">
              <w:rPr>
                <w:rFonts w:ascii="Calibri" w:hAnsi="Calibri" w:cs="Calibri"/>
                <w:b/>
                <w:bCs/>
                <w:color w:val="000000"/>
              </w:rPr>
              <w:t>*</w:t>
            </w:r>
          </w:p>
        </w:tc>
        <w:tc>
          <w:tcPr>
            <w:tcW w:w="6095" w:type="dxa"/>
          </w:tcPr>
          <w:p w14:paraId="33F223B1" w14:textId="77777777" w:rsidR="00E75F6B" w:rsidRDefault="00E75F6B" w:rsidP="001809C0">
            <w:pPr>
              <w:rPr>
                <w:lang w:val="en-US"/>
              </w:rPr>
            </w:pPr>
            <w:r>
              <w:rPr>
                <w:lang w:val="en-US"/>
              </w:rPr>
              <w:t>U</w:t>
            </w:r>
            <w:r w:rsidRPr="00E75F6B">
              <w:rPr>
                <w:lang w:val="en-US"/>
              </w:rPr>
              <w:t>p to a 0,6 % in 2020 of the total annual catches of that species by vessels using bottom trawls with a mesh size equal to or greater than 100 mm</w:t>
            </w:r>
            <w:r w:rsidR="003C7DB9">
              <w:rPr>
                <w:lang w:val="en-US"/>
              </w:rPr>
              <w:t>.</w:t>
            </w:r>
          </w:p>
          <w:p w14:paraId="774497E6" w14:textId="77777777" w:rsidR="003C7DB9" w:rsidRDefault="003C7DB9" w:rsidP="001809C0">
            <w:pPr>
              <w:rPr>
                <w:lang w:val="en-US"/>
              </w:rPr>
            </w:pPr>
          </w:p>
          <w:p w14:paraId="60DB5508" w14:textId="1D844679" w:rsidR="003C7DB9" w:rsidRDefault="003C7DB9" w:rsidP="001809C0">
            <w:pPr>
              <w:rPr>
                <w:lang w:val="en-US"/>
              </w:rPr>
            </w:pPr>
            <w:r>
              <w:rPr>
                <w:lang w:val="en-US"/>
              </w:rPr>
              <w:t>L</w:t>
            </w:r>
            <w:r w:rsidRPr="003C7DB9">
              <w:rPr>
                <w:lang w:val="en-US"/>
              </w:rPr>
              <w:t xml:space="preserve">imited data was provided by the Member States and the evidence that landing unwanted catches has an associated cost is not </w:t>
            </w:r>
            <w:proofErr w:type="gramStart"/>
            <w:r w:rsidRPr="003C7DB9">
              <w:rPr>
                <w:lang w:val="en-US"/>
              </w:rPr>
              <w:t>sufficient</w:t>
            </w:r>
            <w:proofErr w:type="gramEnd"/>
            <w:r w:rsidRPr="003C7DB9">
              <w:rPr>
                <w:lang w:val="en-US"/>
              </w:rPr>
              <w:t xml:space="preserve"> to demonstrate that those costs are disproportionate. The STECF notes that improving selectivity in the relevant fisheries should be the priority as it would reduce the costs for handling unwanted catches.</w:t>
            </w:r>
          </w:p>
        </w:tc>
        <w:tc>
          <w:tcPr>
            <w:tcW w:w="5386" w:type="dxa"/>
          </w:tcPr>
          <w:p w14:paraId="5959FFF4" w14:textId="77777777" w:rsidR="00E75F6B" w:rsidRPr="00AF7FFA" w:rsidRDefault="00E75F6B" w:rsidP="001809C0">
            <w:pPr>
              <w:rPr>
                <w:lang w:val="en-US"/>
              </w:rPr>
            </w:pPr>
          </w:p>
        </w:tc>
      </w:tr>
      <w:tr w:rsidR="00DA1D90" w14:paraId="5F25785B" w14:textId="77777777" w:rsidTr="00DA1D90">
        <w:tc>
          <w:tcPr>
            <w:tcW w:w="1555" w:type="dxa"/>
          </w:tcPr>
          <w:p w14:paraId="2FCC80F8" w14:textId="11325AAE" w:rsidR="00DA1D90" w:rsidRDefault="00DA1D90" w:rsidP="001809C0">
            <w:pPr>
              <w:rPr>
                <w:rFonts w:ascii="Calibri" w:hAnsi="Calibri" w:cs="Calibri"/>
                <w:b/>
                <w:bCs/>
                <w:color w:val="000000"/>
              </w:rPr>
            </w:pPr>
            <w:r>
              <w:rPr>
                <w:rFonts w:ascii="Calibri" w:hAnsi="Calibri" w:cs="Calibri"/>
                <w:b/>
                <w:bCs/>
                <w:color w:val="000000"/>
              </w:rPr>
              <w:t>Boarfish</w:t>
            </w:r>
            <w:r w:rsidRPr="00DA1D90">
              <w:rPr>
                <w:rFonts w:ascii="Calibri" w:hAnsi="Calibri" w:cs="Calibri"/>
                <w:b/>
                <w:bCs/>
                <w:color w:val="000000"/>
              </w:rPr>
              <w:t xml:space="preserve"> </w:t>
            </w:r>
            <w:r w:rsidRPr="00DA1D90">
              <w:rPr>
                <w:b/>
                <w:bCs/>
                <w:lang w:val="en-US"/>
              </w:rPr>
              <w:t>7b,7c and 7f-k</w:t>
            </w:r>
          </w:p>
        </w:tc>
        <w:tc>
          <w:tcPr>
            <w:tcW w:w="6095" w:type="dxa"/>
          </w:tcPr>
          <w:p w14:paraId="537C6A02" w14:textId="0F15ACE2" w:rsidR="00DA1D90" w:rsidRDefault="00DA1D90" w:rsidP="001809C0">
            <w:pPr>
              <w:rPr>
                <w:lang w:val="en-US"/>
              </w:rPr>
            </w:pPr>
            <w:r>
              <w:t>U</w:t>
            </w:r>
            <w:r w:rsidRPr="00DA1D90">
              <w:rPr>
                <w:lang w:val="en-US"/>
              </w:rPr>
              <w:t>p to a maximum of 0,5 % in 2020 of the total annual catches of that species by vessels using bottom trawls</w:t>
            </w:r>
            <w:r>
              <w:rPr>
                <w:lang w:val="en-US"/>
              </w:rPr>
              <w:t>.</w:t>
            </w:r>
          </w:p>
        </w:tc>
        <w:tc>
          <w:tcPr>
            <w:tcW w:w="5386" w:type="dxa"/>
          </w:tcPr>
          <w:p w14:paraId="66FBA63E" w14:textId="77777777" w:rsidR="00DA1D90" w:rsidRPr="00AF7FFA" w:rsidRDefault="00DA1D90" w:rsidP="001809C0">
            <w:pPr>
              <w:rPr>
                <w:lang w:val="en-US"/>
              </w:rPr>
            </w:pPr>
          </w:p>
        </w:tc>
      </w:tr>
      <w:tr w:rsidR="00DA1D90" w14:paraId="4144AF7D" w14:textId="77777777" w:rsidTr="00DA1D90">
        <w:tc>
          <w:tcPr>
            <w:tcW w:w="1555" w:type="dxa"/>
          </w:tcPr>
          <w:p w14:paraId="68EB2BA7" w14:textId="2BE53CB8" w:rsidR="00DA1D90" w:rsidRDefault="00DA1D90" w:rsidP="001809C0">
            <w:pPr>
              <w:rPr>
                <w:rFonts w:ascii="Calibri" w:hAnsi="Calibri" w:cs="Calibri"/>
                <w:b/>
                <w:bCs/>
                <w:color w:val="000000"/>
              </w:rPr>
            </w:pPr>
            <w:r>
              <w:rPr>
                <w:rFonts w:ascii="Calibri" w:hAnsi="Calibri" w:cs="Calibri"/>
                <w:b/>
                <w:bCs/>
                <w:color w:val="000000"/>
              </w:rPr>
              <w:t xml:space="preserve">Demersal mixed fishery 7a </w:t>
            </w:r>
          </w:p>
        </w:tc>
        <w:tc>
          <w:tcPr>
            <w:tcW w:w="6095" w:type="dxa"/>
          </w:tcPr>
          <w:p w14:paraId="612B2DB9" w14:textId="2944130F" w:rsidR="00DA1D90" w:rsidRDefault="00DA1D90" w:rsidP="00DA1D90">
            <w:r>
              <w:t>in the demersal mixed fishery carried out by vessels targeting brown shrimp and using beam trawls with a mesh size equal to or greater than 31 mm:</w:t>
            </w:r>
          </w:p>
          <w:p w14:paraId="20F69B3C" w14:textId="3EFC402B" w:rsidR="00DA1D90" w:rsidRDefault="00DA1D90" w:rsidP="00DA1D90">
            <w:r>
              <w:t>a combined quantity of fish species below MCRS, which shall not exceed 0,85 % of the total annual catches of plaice and 0,15 % of the total annual catches of whiting in the demersal mixed fisheries.</w:t>
            </w:r>
          </w:p>
        </w:tc>
        <w:tc>
          <w:tcPr>
            <w:tcW w:w="5386" w:type="dxa"/>
          </w:tcPr>
          <w:p w14:paraId="57DCDC2D" w14:textId="77777777" w:rsidR="00E9119A" w:rsidRPr="00E9119A" w:rsidRDefault="00E9119A" w:rsidP="00E9119A">
            <w:pPr>
              <w:rPr>
                <w:lang w:val="en-US"/>
              </w:rPr>
            </w:pPr>
            <w:r w:rsidRPr="00E9119A">
              <w:rPr>
                <w:lang w:val="en-US"/>
              </w:rPr>
              <w:t>Improving selectivity for whiting in fisheries where unwanted catches are highest should remain a priority.</w:t>
            </w:r>
          </w:p>
          <w:p w14:paraId="2FAE000D" w14:textId="4EF79E7C" w:rsidR="00DA1D90" w:rsidRPr="00AF7FFA" w:rsidRDefault="00E9119A" w:rsidP="00E9119A">
            <w:pPr>
              <w:rPr>
                <w:lang w:val="en-US"/>
              </w:rPr>
            </w:pPr>
            <w:r w:rsidRPr="00E9119A">
              <w:rPr>
                <w:lang w:val="en-US"/>
              </w:rPr>
              <w:t xml:space="preserve">The effectiveness of the selectivity measures introduced in 2019 should be monitored during 2020.  </w:t>
            </w:r>
          </w:p>
        </w:tc>
      </w:tr>
    </w:tbl>
    <w:p w14:paraId="7FE46965" w14:textId="736EB9DE" w:rsidR="00782C38" w:rsidRDefault="00782C38" w:rsidP="001809C0">
      <w:pPr>
        <w:rPr>
          <w:b/>
          <w:bCs/>
          <w:lang w:val="en-US"/>
        </w:rPr>
      </w:pPr>
      <w:bookmarkStart w:id="0" w:name="_GoBack"/>
      <w:bookmarkEnd w:id="0"/>
    </w:p>
    <w:sectPr w:rsidR="00782C38" w:rsidSect="00DA1D9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47FEC"/>
    <w:multiLevelType w:val="hybridMultilevel"/>
    <w:tmpl w:val="A800A992"/>
    <w:lvl w:ilvl="0" w:tplc="2C5E80F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3F03CB5"/>
    <w:multiLevelType w:val="hybridMultilevel"/>
    <w:tmpl w:val="A2C4B018"/>
    <w:lvl w:ilvl="0" w:tplc="BB14760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8C078BC"/>
    <w:multiLevelType w:val="multilevel"/>
    <w:tmpl w:val="5C8E48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65F0804"/>
    <w:multiLevelType w:val="hybridMultilevel"/>
    <w:tmpl w:val="C6F2C938"/>
    <w:lvl w:ilvl="0" w:tplc="8B5236A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C9F6380"/>
    <w:multiLevelType w:val="hybridMultilevel"/>
    <w:tmpl w:val="B9A8E09E"/>
    <w:lvl w:ilvl="0" w:tplc="C65C31C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9C0"/>
    <w:rsid w:val="0011647C"/>
    <w:rsid w:val="001809C0"/>
    <w:rsid w:val="0035553B"/>
    <w:rsid w:val="003C7DB9"/>
    <w:rsid w:val="004542B7"/>
    <w:rsid w:val="0052790A"/>
    <w:rsid w:val="006D6B27"/>
    <w:rsid w:val="00776CF9"/>
    <w:rsid w:val="00782C38"/>
    <w:rsid w:val="00840FD8"/>
    <w:rsid w:val="009F701A"/>
    <w:rsid w:val="00AF7FFA"/>
    <w:rsid w:val="00C81F94"/>
    <w:rsid w:val="00D052FC"/>
    <w:rsid w:val="00D6657D"/>
    <w:rsid w:val="00DA1D90"/>
    <w:rsid w:val="00E75F6B"/>
    <w:rsid w:val="00E9119A"/>
    <w:rsid w:val="00FA221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7CAB2"/>
  <w15:chartTrackingRefBased/>
  <w15:docId w15:val="{824D5F69-E46E-467A-8946-95454F3C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0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2C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C38"/>
    <w:rPr>
      <w:rFonts w:ascii="Segoe UI" w:hAnsi="Segoe UI" w:cs="Segoe UI"/>
      <w:sz w:val="18"/>
      <w:szCs w:val="18"/>
    </w:rPr>
  </w:style>
  <w:style w:type="paragraph" w:styleId="ListParagraph">
    <w:name w:val="List Paragraph"/>
    <w:basedOn w:val="Normal"/>
    <w:uiPriority w:val="34"/>
    <w:qFormat/>
    <w:rsid w:val="0052790A"/>
    <w:pPr>
      <w:ind w:left="720"/>
      <w:contextualSpacing/>
    </w:pPr>
  </w:style>
  <w:style w:type="paragraph" w:customStyle="1" w:styleId="ti-art">
    <w:name w:val="ti-art"/>
    <w:basedOn w:val="Normal"/>
    <w:rsid w:val="0011647C"/>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sti-art">
    <w:name w:val="sti-art"/>
    <w:basedOn w:val="Normal"/>
    <w:rsid w:val="0011647C"/>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Normal1">
    <w:name w:val="Normal1"/>
    <w:basedOn w:val="Normal"/>
    <w:rsid w:val="0011647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4542B7"/>
    <w:rPr>
      <w:color w:val="0000FF"/>
      <w:u w:val="single"/>
    </w:rPr>
  </w:style>
  <w:style w:type="character" w:customStyle="1" w:styleId="super">
    <w:name w:val="super"/>
    <w:basedOn w:val="DefaultParagraphFont"/>
    <w:rsid w:val="00454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806075">
      <w:bodyDiv w:val="1"/>
      <w:marLeft w:val="0"/>
      <w:marRight w:val="0"/>
      <w:marTop w:val="0"/>
      <w:marBottom w:val="0"/>
      <w:divBdr>
        <w:top w:val="none" w:sz="0" w:space="0" w:color="auto"/>
        <w:left w:val="none" w:sz="0" w:space="0" w:color="auto"/>
        <w:bottom w:val="none" w:sz="0" w:space="0" w:color="auto"/>
        <w:right w:val="none" w:sz="0" w:space="0" w:color="auto"/>
      </w:divBdr>
    </w:div>
    <w:div w:id="479074259">
      <w:bodyDiv w:val="1"/>
      <w:marLeft w:val="0"/>
      <w:marRight w:val="0"/>
      <w:marTop w:val="0"/>
      <w:marBottom w:val="0"/>
      <w:divBdr>
        <w:top w:val="none" w:sz="0" w:space="0" w:color="auto"/>
        <w:left w:val="none" w:sz="0" w:space="0" w:color="auto"/>
        <w:bottom w:val="none" w:sz="0" w:space="0" w:color="auto"/>
        <w:right w:val="none" w:sz="0" w:space="0" w:color="auto"/>
      </w:divBdr>
      <w:divsChild>
        <w:div w:id="1010183210">
          <w:marLeft w:val="0"/>
          <w:marRight w:val="0"/>
          <w:marTop w:val="0"/>
          <w:marBottom w:val="0"/>
          <w:divBdr>
            <w:top w:val="none" w:sz="0" w:space="0" w:color="auto"/>
            <w:left w:val="none" w:sz="0" w:space="0" w:color="auto"/>
            <w:bottom w:val="none" w:sz="0" w:space="0" w:color="auto"/>
            <w:right w:val="none" w:sz="0" w:space="0" w:color="auto"/>
          </w:divBdr>
        </w:div>
        <w:div w:id="1133911286">
          <w:marLeft w:val="0"/>
          <w:marRight w:val="0"/>
          <w:marTop w:val="0"/>
          <w:marBottom w:val="0"/>
          <w:divBdr>
            <w:top w:val="none" w:sz="0" w:space="0" w:color="auto"/>
            <w:left w:val="none" w:sz="0" w:space="0" w:color="auto"/>
            <w:bottom w:val="none" w:sz="0" w:space="0" w:color="auto"/>
            <w:right w:val="none" w:sz="0" w:space="0" w:color="auto"/>
          </w:divBdr>
        </w:div>
        <w:div w:id="2048144751">
          <w:marLeft w:val="0"/>
          <w:marRight w:val="0"/>
          <w:marTop w:val="0"/>
          <w:marBottom w:val="0"/>
          <w:divBdr>
            <w:top w:val="none" w:sz="0" w:space="0" w:color="auto"/>
            <w:left w:val="none" w:sz="0" w:space="0" w:color="auto"/>
            <w:bottom w:val="none" w:sz="0" w:space="0" w:color="auto"/>
            <w:right w:val="none" w:sz="0" w:space="0" w:color="auto"/>
          </w:divBdr>
        </w:div>
        <w:div w:id="210729444">
          <w:marLeft w:val="0"/>
          <w:marRight w:val="0"/>
          <w:marTop w:val="0"/>
          <w:marBottom w:val="0"/>
          <w:divBdr>
            <w:top w:val="none" w:sz="0" w:space="0" w:color="auto"/>
            <w:left w:val="none" w:sz="0" w:space="0" w:color="auto"/>
            <w:bottom w:val="none" w:sz="0" w:space="0" w:color="auto"/>
            <w:right w:val="none" w:sz="0" w:space="0" w:color="auto"/>
          </w:divBdr>
        </w:div>
        <w:div w:id="1524441608">
          <w:marLeft w:val="0"/>
          <w:marRight w:val="0"/>
          <w:marTop w:val="0"/>
          <w:marBottom w:val="0"/>
          <w:divBdr>
            <w:top w:val="none" w:sz="0" w:space="0" w:color="auto"/>
            <w:left w:val="none" w:sz="0" w:space="0" w:color="auto"/>
            <w:bottom w:val="none" w:sz="0" w:space="0" w:color="auto"/>
            <w:right w:val="none" w:sz="0" w:space="0" w:color="auto"/>
          </w:divBdr>
        </w:div>
      </w:divsChild>
    </w:div>
    <w:div w:id="513807137">
      <w:bodyDiv w:val="1"/>
      <w:marLeft w:val="0"/>
      <w:marRight w:val="0"/>
      <w:marTop w:val="0"/>
      <w:marBottom w:val="0"/>
      <w:divBdr>
        <w:top w:val="none" w:sz="0" w:space="0" w:color="auto"/>
        <w:left w:val="none" w:sz="0" w:space="0" w:color="auto"/>
        <w:bottom w:val="none" w:sz="0" w:space="0" w:color="auto"/>
        <w:right w:val="none" w:sz="0" w:space="0" w:color="auto"/>
      </w:divBdr>
      <w:divsChild>
        <w:div w:id="1831096150">
          <w:marLeft w:val="0"/>
          <w:marRight w:val="0"/>
          <w:marTop w:val="0"/>
          <w:marBottom w:val="0"/>
          <w:divBdr>
            <w:top w:val="none" w:sz="0" w:space="0" w:color="auto"/>
            <w:left w:val="none" w:sz="0" w:space="0" w:color="auto"/>
            <w:bottom w:val="none" w:sz="0" w:space="0" w:color="auto"/>
            <w:right w:val="none" w:sz="0" w:space="0" w:color="auto"/>
          </w:divBdr>
        </w:div>
        <w:div w:id="408843903">
          <w:marLeft w:val="0"/>
          <w:marRight w:val="0"/>
          <w:marTop w:val="0"/>
          <w:marBottom w:val="0"/>
          <w:divBdr>
            <w:top w:val="none" w:sz="0" w:space="0" w:color="auto"/>
            <w:left w:val="none" w:sz="0" w:space="0" w:color="auto"/>
            <w:bottom w:val="none" w:sz="0" w:space="0" w:color="auto"/>
            <w:right w:val="none" w:sz="0" w:space="0" w:color="auto"/>
          </w:divBdr>
        </w:div>
        <w:div w:id="638534054">
          <w:marLeft w:val="0"/>
          <w:marRight w:val="0"/>
          <w:marTop w:val="0"/>
          <w:marBottom w:val="0"/>
          <w:divBdr>
            <w:top w:val="none" w:sz="0" w:space="0" w:color="auto"/>
            <w:left w:val="none" w:sz="0" w:space="0" w:color="auto"/>
            <w:bottom w:val="none" w:sz="0" w:space="0" w:color="auto"/>
            <w:right w:val="none" w:sz="0" w:space="0" w:color="auto"/>
          </w:divBdr>
        </w:div>
        <w:div w:id="382172570">
          <w:marLeft w:val="0"/>
          <w:marRight w:val="0"/>
          <w:marTop w:val="0"/>
          <w:marBottom w:val="0"/>
          <w:divBdr>
            <w:top w:val="none" w:sz="0" w:space="0" w:color="auto"/>
            <w:left w:val="none" w:sz="0" w:space="0" w:color="auto"/>
            <w:bottom w:val="none" w:sz="0" w:space="0" w:color="auto"/>
            <w:right w:val="none" w:sz="0" w:space="0" w:color="auto"/>
          </w:divBdr>
        </w:div>
        <w:div w:id="704064059">
          <w:marLeft w:val="0"/>
          <w:marRight w:val="0"/>
          <w:marTop w:val="0"/>
          <w:marBottom w:val="0"/>
          <w:divBdr>
            <w:top w:val="none" w:sz="0" w:space="0" w:color="auto"/>
            <w:left w:val="none" w:sz="0" w:space="0" w:color="auto"/>
            <w:bottom w:val="none" w:sz="0" w:space="0" w:color="auto"/>
            <w:right w:val="none" w:sz="0" w:space="0" w:color="auto"/>
          </w:divBdr>
        </w:div>
      </w:divsChild>
    </w:div>
    <w:div w:id="662247451">
      <w:bodyDiv w:val="1"/>
      <w:marLeft w:val="0"/>
      <w:marRight w:val="0"/>
      <w:marTop w:val="0"/>
      <w:marBottom w:val="0"/>
      <w:divBdr>
        <w:top w:val="none" w:sz="0" w:space="0" w:color="auto"/>
        <w:left w:val="none" w:sz="0" w:space="0" w:color="auto"/>
        <w:bottom w:val="none" w:sz="0" w:space="0" w:color="auto"/>
        <w:right w:val="none" w:sz="0" w:space="0" w:color="auto"/>
      </w:divBdr>
    </w:div>
    <w:div w:id="811218990">
      <w:bodyDiv w:val="1"/>
      <w:marLeft w:val="0"/>
      <w:marRight w:val="0"/>
      <w:marTop w:val="0"/>
      <w:marBottom w:val="0"/>
      <w:divBdr>
        <w:top w:val="none" w:sz="0" w:space="0" w:color="auto"/>
        <w:left w:val="none" w:sz="0" w:space="0" w:color="auto"/>
        <w:bottom w:val="none" w:sz="0" w:space="0" w:color="auto"/>
        <w:right w:val="none" w:sz="0" w:space="0" w:color="auto"/>
      </w:divBdr>
    </w:div>
    <w:div w:id="877858969">
      <w:bodyDiv w:val="1"/>
      <w:marLeft w:val="0"/>
      <w:marRight w:val="0"/>
      <w:marTop w:val="0"/>
      <w:marBottom w:val="0"/>
      <w:divBdr>
        <w:top w:val="none" w:sz="0" w:space="0" w:color="auto"/>
        <w:left w:val="none" w:sz="0" w:space="0" w:color="auto"/>
        <w:bottom w:val="none" w:sz="0" w:space="0" w:color="auto"/>
        <w:right w:val="none" w:sz="0" w:space="0" w:color="auto"/>
      </w:divBdr>
    </w:div>
    <w:div w:id="1036586882">
      <w:bodyDiv w:val="1"/>
      <w:marLeft w:val="0"/>
      <w:marRight w:val="0"/>
      <w:marTop w:val="0"/>
      <w:marBottom w:val="0"/>
      <w:divBdr>
        <w:top w:val="none" w:sz="0" w:space="0" w:color="auto"/>
        <w:left w:val="none" w:sz="0" w:space="0" w:color="auto"/>
        <w:bottom w:val="none" w:sz="0" w:space="0" w:color="auto"/>
        <w:right w:val="none" w:sz="0" w:space="0" w:color="auto"/>
      </w:divBdr>
    </w:div>
    <w:div w:id="1050106960">
      <w:bodyDiv w:val="1"/>
      <w:marLeft w:val="0"/>
      <w:marRight w:val="0"/>
      <w:marTop w:val="0"/>
      <w:marBottom w:val="0"/>
      <w:divBdr>
        <w:top w:val="none" w:sz="0" w:space="0" w:color="auto"/>
        <w:left w:val="none" w:sz="0" w:space="0" w:color="auto"/>
        <w:bottom w:val="none" w:sz="0" w:space="0" w:color="auto"/>
        <w:right w:val="none" w:sz="0" w:space="0" w:color="auto"/>
      </w:divBdr>
      <w:divsChild>
        <w:div w:id="2120031324">
          <w:marLeft w:val="0"/>
          <w:marRight w:val="0"/>
          <w:marTop w:val="0"/>
          <w:marBottom w:val="0"/>
          <w:divBdr>
            <w:top w:val="none" w:sz="0" w:space="0" w:color="auto"/>
            <w:left w:val="none" w:sz="0" w:space="0" w:color="auto"/>
            <w:bottom w:val="none" w:sz="0" w:space="0" w:color="auto"/>
            <w:right w:val="none" w:sz="0" w:space="0" w:color="auto"/>
          </w:divBdr>
        </w:div>
        <w:div w:id="2139444955">
          <w:marLeft w:val="0"/>
          <w:marRight w:val="0"/>
          <w:marTop w:val="0"/>
          <w:marBottom w:val="0"/>
          <w:divBdr>
            <w:top w:val="none" w:sz="0" w:space="0" w:color="auto"/>
            <w:left w:val="none" w:sz="0" w:space="0" w:color="auto"/>
            <w:bottom w:val="none" w:sz="0" w:space="0" w:color="auto"/>
            <w:right w:val="none" w:sz="0" w:space="0" w:color="auto"/>
          </w:divBdr>
        </w:div>
      </w:divsChild>
    </w:div>
    <w:div w:id="1114061229">
      <w:bodyDiv w:val="1"/>
      <w:marLeft w:val="0"/>
      <w:marRight w:val="0"/>
      <w:marTop w:val="0"/>
      <w:marBottom w:val="0"/>
      <w:divBdr>
        <w:top w:val="none" w:sz="0" w:space="0" w:color="auto"/>
        <w:left w:val="none" w:sz="0" w:space="0" w:color="auto"/>
        <w:bottom w:val="none" w:sz="0" w:space="0" w:color="auto"/>
        <w:right w:val="none" w:sz="0" w:space="0" w:color="auto"/>
      </w:divBdr>
    </w:div>
    <w:div w:id="1318652415">
      <w:bodyDiv w:val="1"/>
      <w:marLeft w:val="0"/>
      <w:marRight w:val="0"/>
      <w:marTop w:val="0"/>
      <w:marBottom w:val="0"/>
      <w:divBdr>
        <w:top w:val="none" w:sz="0" w:space="0" w:color="auto"/>
        <w:left w:val="none" w:sz="0" w:space="0" w:color="auto"/>
        <w:bottom w:val="none" w:sz="0" w:space="0" w:color="auto"/>
        <w:right w:val="none" w:sz="0" w:space="0" w:color="auto"/>
      </w:divBdr>
    </w:div>
    <w:div w:id="1439448101">
      <w:bodyDiv w:val="1"/>
      <w:marLeft w:val="0"/>
      <w:marRight w:val="0"/>
      <w:marTop w:val="0"/>
      <w:marBottom w:val="0"/>
      <w:divBdr>
        <w:top w:val="none" w:sz="0" w:space="0" w:color="auto"/>
        <w:left w:val="none" w:sz="0" w:space="0" w:color="auto"/>
        <w:bottom w:val="none" w:sz="0" w:space="0" w:color="auto"/>
        <w:right w:val="none" w:sz="0" w:space="0" w:color="auto"/>
      </w:divBdr>
      <w:divsChild>
        <w:div w:id="2107722873">
          <w:marLeft w:val="0"/>
          <w:marRight w:val="0"/>
          <w:marTop w:val="0"/>
          <w:marBottom w:val="0"/>
          <w:divBdr>
            <w:top w:val="none" w:sz="0" w:space="0" w:color="auto"/>
            <w:left w:val="none" w:sz="0" w:space="0" w:color="auto"/>
            <w:bottom w:val="none" w:sz="0" w:space="0" w:color="auto"/>
            <w:right w:val="none" w:sz="0" w:space="0" w:color="auto"/>
          </w:divBdr>
        </w:div>
        <w:div w:id="1480463398">
          <w:marLeft w:val="0"/>
          <w:marRight w:val="0"/>
          <w:marTop w:val="0"/>
          <w:marBottom w:val="0"/>
          <w:divBdr>
            <w:top w:val="none" w:sz="0" w:space="0" w:color="auto"/>
            <w:left w:val="none" w:sz="0" w:space="0" w:color="auto"/>
            <w:bottom w:val="none" w:sz="0" w:space="0" w:color="auto"/>
            <w:right w:val="none" w:sz="0" w:space="0" w:color="auto"/>
          </w:divBdr>
        </w:div>
        <w:div w:id="252250969">
          <w:marLeft w:val="0"/>
          <w:marRight w:val="0"/>
          <w:marTop w:val="0"/>
          <w:marBottom w:val="0"/>
          <w:divBdr>
            <w:top w:val="none" w:sz="0" w:space="0" w:color="auto"/>
            <w:left w:val="none" w:sz="0" w:space="0" w:color="auto"/>
            <w:bottom w:val="none" w:sz="0" w:space="0" w:color="auto"/>
            <w:right w:val="none" w:sz="0" w:space="0" w:color="auto"/>
          </w:divBdr>
        </w:div>
        <w:div w:id="1599561049">
          <w:marLeft w:val="0"/>
          <w:marRight w:val="0"/>
          <w:marTop w:val="0"/>
          <w:marBottom w:val="0"/>
          <w:divBdr>
            <w:top w:val="none" w:sz="0" w:space="0" w:color="auto"/>
            <w:left w:val="none" w:sz="0" w:space="0" w:color="auto"/>
            <w:bottom w:val="none" w:sz="0" w:space="0" w:color="auto"/>
            <w:right w:val="none" w:sz="0" w:space="0" w:color="auto"/>
          </w:divBdr>
        </w:div>
      </w:divsChild>
    </w:div>
    <w:div w:id="1542205772">
      <w:bodyDiv w:val="1"/>
      <w:marLeft w:val="0"/>
      <w:marRight w:val="0"/>
      <w:marTop w:val="0"/>
      <w:marBottom w:val="0"/>
      <w:divBdr>
        <w:top w:val="none" w:sz="0" w:space="0" w:color="auto"/>
        <w:left w:val="none" w:sz="0" w:space="0" w:color="auto"/>
        <w:bottom w:val="none" w:sz="0" w:space="0" w:color="auto"/>
        <w:right w:val="none" w:sz="0" w:space="0" w:color="auto"/>
      </w:divBdr>
    </w:div>
    <w:div w:id="1711682204">
      <w:bodyDiv w:val="1"/>
      <w:marLeft w:val="0"/>
      <w:marRight w:val="0"/>
      <w:marTop w:val="0"/>
      <w:marBottom w:val="0"/>
      <w:divBdr>
        <w:top w:val="none" w:sz="0" w:space="0" w:color="auto"/>
        <w:left w:val="none" w:sz="0" w:space="0" w:color="auto"/>
        <w:bottom w:val="none" w:sz="0" w:space="0" w:color="auto"/>
        <w:right w:val="none" w:sz="0" w:space="0" w:color="auto"/>
      </w:divBdr>
    </w:div>
    <w:div w:id="2087340809">
      <w:bodyDiv w:val="1"/>
      <w:marLeft w:val="0"/>
      <w:marRight w:val="0"/>
      <w:marTop w:val="0"/>
      <w:marBottom w:val="0"/>
      <w:divBdr>
        <w:top w:val="none" w:sz="0" w:space="0" w:color="auto"/>
        <w:left w:val="none" w:sz="0" w:space="0" w:color="auto"/>
        <w:bottom w:val="none" w:sz="0" w:space="0" w:color="auto"/>
        <w:right w:val="none" w:sz="0" w:space="0" w:color="auto"/>
      </w:divBdr>
    </w:div>
    <w:div w:id="211852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5</Pages>
  <Words>1450</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Vallerani, Matilde</dc:creator>
  <cp:keywords/>
  <dc:description/>
  <cp:lastModifiedBy>Vallerani, Matilde</cp:lastModifiedBy>
  <cp:revision>4</cp:revision>
  <dcterms:created xsi:type="dcterms:W3CDTF">2020-02-24T14:20:00Z</dcterms:created>
  <dcterms:modified xsi:type="dcterms:W3CDTF">2020-03-05T11:11:00Z</dcterms:modified>
</cp:coreProperties>
</file>